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C4EDB" w14:textId="68ADA7DE" w:rsidR="00E90E49" w:rsidRPr="00CE0424" w:rsidRDefault="00E90E49" w:rsidP="00E35559">
      <w:pPr>
        <w:pStyle w:val="3GPPHeader"/>
        <w:spacing w:after="60"/>
        <w:rPr>
          <w:sz w:val="32"/>
          <w:szCs w:val="32"/>
          <w:highlight w:val="yellow"/>
        </w:rPr>
      </w:pPr>
      <w:r w:rsidRPr="00CE0424">
        <w:t>3GPP TSG-RAN WG #</w:t>
      </w:r>
      <w:r w:rsidR="006D08D3">
        <w:t>94</w:t>
      </w:r>
      <w:r w:rsidR="00F20F5C">
        <w:t>e</w:t>
      </w:r>
      <w:r w:rsidRPr="00CE0424">
        <w:tab/>
      </w:r>
      <w:r w:rsidR="00460294" w:rsidRPr="00460294">
        <w:rPr>
          <w:sz w:val="32"/>
          <w:szCs w:val="32"/>
        </w:rPr>
        <w:t>RP-213459</w:t>
      </w:r>
    </w:p>
    <w:p w14:paraId="3C201851" w14:textId="3B44CF57" w:rsidR="00E90E49" w:rsidRDefault="00C268E6" w:rsidP="00357380">
      <w:pPr>
        <w:pStyle w:val="3GPPHeader"/>
      </w:pPr>
      <w:r>
        <w:t>Electronic meeting,</w:t>
      </w:r>
      <w:r w:rsidR="006D08D3">
        <w:t xml:space="preserve"> 6</w:t>
      </w:r>
      <w:r w:rsidR="006D08D3" w:rsidRPr="006D08D3">
        <w:rPr>
          <w:vertAlign w:val="superscript"/>
        </w:rPr>
        <w:t>th</w:t>
      </w:r>
      <w:r w:rsidR="006D08D3">
        <w:t xml:space="preserve"> December – 17</w:t>
      </w:r>
      <w:r w:rsidR="006D08D3" w:rsidRPr="006D08D3">
        <w:rPr>
          <w:vertAlign w:val="superscript"/>
        </w:rPr>
        <w:t>th</w:t>
      </w:r>
      <w:r w:rsidR="006D08D3">
        <w:t xml:space="preserve"> December 2021</w:t>
      </w:r>
    </w:p>
    <w:p w14:paraId="59D31E03" w14:textId="77777777" w:rsidR="006D08D3" w:rsidRPr="00CE0424" w:rsidRDefault="006D08D3" w:rsidP="00357380">
      <w:pPr>
        <w:pStyle w:val="3GPPHeader"/>
      </w:pPr>
    </w:p>
    <w:p w14:paraId="3651B783" w14:textId="1328654A" w:rsidR="00E90E49" w:rsidRPr="00915E07" w:rsidRDefault="00E90E49" w:rsidP="00311702">
      <w:pPr>
        <w:pStyle w:val="3GPPHeader"/>
        <w:rPr>
          <w:sz w:val="22"/>
          <w:szCs w:val="22"/>
          <w:lang w:val="sv-SE"/>
        </w:rPr>
      </w:pPr>
      <w:r w:rsidRPr="00915E07">
        <w:rPr>
          <w:sz w:val="22"/>
          <w:szCs w:val="22"/>
          <w:lang w:val="sv-SE"/>
        </w:rPr>
        <w:t>Agenda Item:</w:t>
      </w:r>
      <w:r w:rsidRPr="00915E07">
        <w:rPr>
          <w:sz w:val="22"/>
          <w:szCs w:val="22"/>
          <w:lang w:val="sv-SE"/>
        </w:rPr>
        <w:tab/>
      </w:r>
      <w:r w:rsidR="00460294" w:rsidRPr="00460294">
        <w:rPr>
          <w:sz w:val="22"/>
          <w:szCs w:val="22"/>
          <w:lang w:val="sv-SE"/>
        </w:rPr>
        <w:t>9.3.2.11</w:t>
      </w:r>
    </w:p>
    <w:p w14:paraId="77F9FF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CB7BFC" w14:textId="58A565B6" w:rsidR="00E90E49" w:rsidRPr="00CE0424" w:rsidRDefault="003D3C45" w:rsidP="00311702">
      <w:pPr>
        <w:pStyle w:val="3GPPHeader"/>
        <w:rPr>
          <w:sz w:val="22"/>
          <w:szCs w:val="22"/>
        </w:rPr>
      </w:pPr>
      <w:r>
        <w:rPr>
          <w:sz w:val="22"/>
          <w:szCs w:val="22"/>
        </w:rPr>
        <w:t>Title:</w:t>
      </w:r>
      <w:r w:rsidR="00E90E49" w:rsidRPr="00CE0424">
        <w:rPr>
          <w:sz w:val="22"/>
          <w:szCs w:val="22"/>
        </w:rPr>
        <w:tab/>
      </w:r>
      <w:r w:rsidR="00460294" w:rsidRPr="00460294">
        <w:rPr>
          <w:sz w:val="22"/>
          <w:szCs w:val="22"/>
        </w:rPr>
        <w:t>Sidelink relaying scope</w:t>
      </w:r>
    </w:p>
    <w:p w14:paraId="35604C1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08D3">
        <w:rPr>
          <w:sz w:val="22"/>
          <w:szCs w:val="22"/>
        </w:rPr>
        <w:t>Discussion, Decision</w:t>
      </w:r>
    </w:p>
    <w:p w14:paraId="4A53C427" w14:textId="77777777" w:rsidR="00E90E49" w:rsidRPr="00CE0424" w:rsidRDefault="00E90E49" w:rsidP="00E90E49"/>
    <w:p w14:paraId="0A98F60C" w14:textId="77777777" w:rsidR="00E90E49" w:rsidRPr="00CE0424" w:rsidRDefault="00230D18" w:rsidP="00CE0424">
      <w:pPr>
        <w:pStyle w:val="Heading1"/>
      </w:pPr>
      <w:r>
        <w:t>1</w:t>
      </w:r>
      <w:r>
        <w:tab/>
      </w:r>
      <w:r w:rsidR="00E90E49" w:rsidRPr="00CE0424">
        <w:t>Introduction</w:t>
      </w:r>
    </w:p>
    <w:p w14:paraId="2923D0B9" w14:textId="10B21B2B" w:rsidR="00477768" w:rsidRPr="00CE0424" w:rsidRDefault="006D08D3" w:rsidP="006D08D3">
      <w:pPr>
        <w:pStyle w:val="BodyText"/>
      </w:pPr>
      <w:r>
        <w:t xml:space="preserve">According to the latest status on Rel-17 SL relay, there are several open issues </w:t>
      </w:r>
      <w:r w:rsidR="00915E07">
        <w:t>listed</w:t>
      </w:r>
      <w:r>
        <w:t xml:space="preserve">. In this contribution we provide our view on those and whether a </w:t>
      </w:r>
      <w:r w:rsidR="00915E07">
        <w:t>down scoping</w:t>
      </w:r>
      <w:r>
        <w:t xml:space="preserve"> is needed in order to close the WI.</w:t>
      </w:r>
    </w:p>
    <w:p w14:paraId="3AD84E92" w14:textId="3232E32F" w:rsidR="005F5706" w:rsidRDefault="00230D18" w:rsidP="005F5706">
      <w:pPr>
        <w:pStyle w:val="Heading1"/>
      </w:pPr>
      <w:bookmarkStart w:id="0" w:name="_Ref178064866"/>
      <w:r>
        <w:t>2</w:t>
      </w:r>
      <w:r>
        <w:tab/>
      </w:r>
      <w:r w:rsidR="004000E8" w:rsidRPr="00CE0424">
        <w:t>Discussion</w:t>
      </w:r>
      <w:bookmarkEnd w:id="0"/>
    </w:p>
    <w:p w14:paraId="65424FD9" w14:textId="2C4DF2C2" w:rsidR="005F5706" w:rsidRDefault="005F5706" w:rsidP="005F5706">
      <w:pPr>
        <w:pStyle w:val="BodyText"/>
      </w:pPr>
      <w:r>
        <w:t xml:space="preserve">According to the status report provided for the Rel-17 SL relay WI and from the open issue list submitted in </w:t>
      </w:r>
      <w:hyperlink r:id="rId11" w:history="1">
        <w:r w:rsidRPr="005F5706">
          <w:rPr>
            <w:rStyle w:val="Hyperlink"/>
          </w:rPr>
          <w:t>R2-2109401</w:t>
        </w:r>
      </w:hyperlink>
      <w:r>
        <w:t xml:space="preserve"> in the last RAN2#116e meeting, it is still not clear on whether the </w:t>
      </w:r>
      <w:r w:rsidR="00940BB5">
        <w:t>time left would be enough to close the work item</w:t>
      </w:r>
      <w:r w:rsidR="00BA2478">
        <w:t xml:space="preserve"> with the current scope</w:t>
      </w:r>
      <w:r w:rsidR="00940BB5">
        <w:t xml:space="preserve">. There </w:t>
      </w:r>
      <w:r w:rsidR="00D6766B">
        <w:t>are</w:t>
      </w:r>
      <w:r w:rsidR="00940BB5">
        <w:t xml:space="preserve"> a lot of details and open issues to be addressed but basically only two meeting</w:t>
      </w:r>
      <w:r w:rsidR="00BA2478">
        <w:t>s are</w:t>
      </w:r>
      <w:r w:rsidR="00940BB5">
        <w:t xml:space="preserve"> left before the functional freeze. According to this, it would be good if RAN discuss</w:t>
      </w:r>
      <w:r w:rsidR="00D6766B">
        <w:t>es</w:t>
      </w:r>
      <w:r w:rsidR="00940BB5">
        <w:t xml:space="preserve"> a possible </w:t>
      </w:r>
      <w:r w:rsidR="00915E07">
        <w:t>down scoping</w:t>
      </w:r>
      <w:r w:rsidR="00940BB5">
        <w:t xml:space="preserve"> to </w:t>
      </w:r>
      <w:r w:rsidR="00BA2478">
        <w:t xml:space="preserve">adjust the </w:t>
      </w:r>
      <w:r w:rsidR="00940BB5">
        <w:t>sidelink relay</w:t>
      </w:r>
      <w:r w:rsidR="00BA2478">
        <w:t>ing WI</w:t>
      </w:r>
      <w:r w:rsidR="00915E07">
        <w:t xml:space="preserve"> scope</w:t>
      </w:r>
      <w:r w:rsidR="00BA2478">
        <w:t xml:space="preserve"> to ensure that the </w:t>
      </w:r>
      <w:r w:rsidR="00940BB5">
        <w:t xml:space="preserve">WI </w:t>
      </w:r>
      <w:r w:rsidR="00BA2478">
        <w:t>can be completed in time</w:t>
      </w:r>
      <w:r w:rsidR="00940BB5">
        <w:t>.</w:t>
      </w:r>
    </w:p>
    <w:p w14:paraId="5384C084" w14:textId="7D121051" w:rsidR="00940BB5" w:rsidRDefault="00940BB5" w:rsidP="00940BB5">
      <w:pPr>
        <w:pStyle w:val="Proposal"/>
      </w:pPr>
      <w:bookmarkStart w:id="1" w:name="_Toc89095405"/>
      <w:r>
        <w:t xml:space="preserve">Given the list of open issues and details to be addressed, RAN to discuss </w:t>
      </w:r>
      <w:r w:rsidR="00B72413">
        <w:t>down scoping</w:t>
      </w:r>
      <w:r>
        <w:t xml:space="preserve"> for the Rel-17 SL Relay WI.</w:t>
      </w:r>
      <w:bookmarkEnd w:id="1"/>
    </w:p>
    <w:p w14:paraId="4770F57B" w14:textId="2D911673" w:rsidR="00940BB5" w:rsidRDefault="00915E07" w:rsidP="00940BB5">
      <w:pPr>
        <w:pStyle w:val="BodyText"/>
      </w:pPr>
      <w:r>
        <w:t>Below we provide our view on which topics to down scope in this release</w:t>
      </w:r>
      <w:r w:rsidR="00940BB5">
        <w:t>.</w:t>
      </w:r>
    </w:p>
    <w:p w14:paraId="1BCB2ED2" w14:textId="224DA495" w:rsidR="00181CF3" w:rsidRDefault="00181CF3" w:rsidP="00181CF3">
      <w:pPr>
        <w:pStyle w:val="Heading3"/>
      </w:pPr>
      <w:r>
        <w:t>2.1</w:t>
      </w:r>
      <w:r>
        <w:tab/>
      </w:r>
      <w:r w:rsidR="007879C1">
        <w:t>Which</w:t>
      </w:r>
      <w:r>
        <w:t xml:space="preserve"> SIBs a remote UE can request on-demand to the relay UE</w:t>
      </w:r>
    </w:p>
    <w:p w14:paraId="6B9D9B72" w14:textId="560F0558" w:rsidR="00940BB5" w:rsidRDefault="00940BB5" w:rsidP="00940BB5">
      <w:pPr>
        <w:pStyle w:val="BodyText"/>
      </w:pPr>
      <w:r>
        <w:t>In the last RAN2#116e meeting, the following working assumption was reached regarding what SIB(s) a remote UE can ask to be forward</w:t>
      </w:r>
      <w:r w:rsidR="00BA2478">
        <w:t>ed</w:t>
      </w:r>
      <w:r>
        <w:t xml:space="preserve"> by a relay UE. Basic principle for this is that the remote UE ask for some SIB(s) on-demand from the relay UE and the relay simply forward those.</w:t>
      </w:r>
    </w:p>
    <w:p w14:paraId="77028B01" w14:textId="77777777" w:rsidR="00940BB5" w:rsidRDefault="00940BB5" w:rsidP="00940BB5">
      <w:pPr>
        <w:pStyle w:val="Doc-text2"/>
        <w:pBdr>
          <w:top w:val="single" w:sz="4" w:space="1" w:color="auto"/>
          <w:left w:val="single" w:sz="4" w:space="4" w:color="auto"/>
          <w:bottom w:val="single" w:sz="4" w:space="1" w:color="auto"/>
          <w:right w:val="single" w:sz="4" w:space="4" w:color="auto"/>
        </w:pBdr>
      </w:pPr>
      <w:r>
        <w:t>Agreements:</w:t>
      </w:r>
    </w:p>
    <w:p w14:paraId="7719092B" w14:textId="484DF6F5" w:rsidR="00940BB5" w:rsidRDefault="00940BB5" w:rsidP="00940BB5">
      <w:pPr>
        <w:pStyle w:val="Doc-text2"/>
        <w:pBdr>
          <w:top w:val="single" w:sz="4" w:space="1" w:color="auto"/>
          <w:left w:val="single" w:sz="4" w:space="4" w:color="auto"/>
          <w:bottom w:val="single" w:sz="4" w:space="1" w:color="auto"/>
          <w:right w:val="single" w:sz="4" w:space="4" w:color="auto"/>
        </w:pBdr>
      </w:pPr>
      <w:r>
        <w:t xml:space="preserve">WA: Any SIB which the remote UE has a requirement to use (e.g. for relay purpose) can be requested by the remote UE (from the relay UE or the network). [20/23]  FFS how to capture this in spec, but </w:t>
      </w:r>
      <w:r w:rsidRPr="00C8697D">
        <w:rPr>
          <w:highlight w:val="yellow"/>
        </w:rPr>
        <w:t>this agreement does not automatically imply signalling to request all SIBs.</w:t>
      </w:r>
    </w:p>
    <w:p w14:paraId="08A87D66" w14:textId="3D60A7B9" w:rsidR="00940BB5" w:rsidRDefault="00940BB5" w:rsidP="00940BB5">
      <w:pPr>
        <w:pStyle w:val="BodyText"/>
      </w:pPr>
    </w:p>
    <w:p w14:paraId="400F4983" w14:textId="331A1864" w:rsidR="00C8697D" w:rsidRDefault="00A22D41" w:rsidP="00940BB5">
      <w:pPr>
        <w:pStyle w:val="BodyText"/>
      </w:pPr>
      <w:r>
        <w:t xml:space="preserve">Simple solution for this is that a remote UE may ask the relay UE </w:t>
      </w:r>
      <w:r w:rsidR="00BA2478">
        <w:t xml:space="preserve">to forward </w:t>
      </w:r>
      <w:r>
        <w:t>only SIB</w:t>
      </w:r>
      <w:r w:rsidR="00BA2478">
        <w:t>s</w:t>
      </w:r>
      <w:r>
        <w:t xml:space="preserve"> that are relevant for the normal operation of SL relay. However, the discussion is now to expand this possibility to any SIB, regardless of whether this are for the purpose of SL relay or not. This discussion </w:t>
      </w:r>
      <w:r w:rsidR="00BA2478">
        <w:t xml:space="preserve">has </w:t>
      </w:r>
      <w:r>
        <w:t xml:space="preserve">now </w:t>
      </w:r>
      <w:r w:rsidR="00BA2478">
        <w:t>been</w:t>
      </w:r>
      <w:r>
        <w:t xml:space="preserve"> going on for many meetings and not a clear agreement has been reached so far.</w:t>
      </w:r>
    </w:p>
    <w:p w14:paraId="1299E02C" w14:textId="2438C246" w:rsidR="00A22D41" w:rsidRDefault="00A22D41" w:rsidP="00940BB5">
      <w:pPr>
        <w:pStyle w:val="BodyText"/>
      </w:pPr>
      <w:r>
        <w:t>Gong a bit more in</w:t>
      </w:r>
      <w:r w:rsidR="00BA2478">
        <w:t>to</w:t>
      </w:r>
      <w:r>
        <w:t xml:space="preserve"> details, </w:t>
      </w:r>
      <w:r w:rsidR="00B7344A">
        <w:t>here is a</w:t>
      </w:r>
      <w:r w:rsidR="00BA2478">
        <w:t>n</w:t>
      </w:r>
      <w:r w:rsidR="00B7344A">
        <w:t xml:space="preserve"> analysis on why certain SIBs are </w:t>
      </w:r>
      <w:r w:rsidR="00BA2478">
        <w:t xml:space="preserve">not </w:t>
      </w:r>
      <w:r w:rsidR="00B7344A">
        <w:t>use</w:t>
      </w:r>
      <w:r w:rsidR="00915E07">
        <w:t xml:space="preserve">ful </w:t>
      </w:r>
      <w:r w:rsidR="00BA2478">
        <w:t>to forward</w:t>
      </w:r>
      <w:r w:rsidR="00B7344A">
        <w:t>.</w:t>
      </w:r>
    </w:p>
    <w:tbl>
      <w:tblPr>
        <w:tblStyle w:val="GridTable4-Accent1"/>
        <w:tblW w:w="0" w:type="auto"/>
        <w:tblLook w:val="04A0" w:firstRow="1" w:lastRow="0" w:firstColumn="1" w:lastColumn="0" w:noHBand="0" w:noVBand="1"/>
      </w:tblPr>
      <w:tblGrid>
        <w:gridCol w:w="4814"/>
        <w:gridCol w:w="4815"/>
      </w:tblGrid>
      <w:tr w:rsidR="00B7344A" w14:paraId="09AE83A1" w14:textId="77777777" w:rsidTr="00B734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47D516E" w14:textId="097FDDAB" w:rsidR="00B7344A" w:rsidRDefault="00B7344A" w:rsidP="00B7344A">
            <w:pPr>
              <w:pStyle w:val="BodyText"/>
              <w:jc w:val="center"/>
            </w:pPr>
            <w:r>
              <w:t>SIB</w:t>
            </w:r>
          </w:p>
        </w:tc>
        <w:tc>
          <w:tcPr>
            <w:tcW w:w="4815" w:type="dxa"/>
          </w:tcPr>
          <w:p w14:paraId="16A9C31A" w14:textId="62C1B02C" w:rsidR="00B7344A" w:rsidRDefault="00B7344A" w:rsidP="00B7344A">
            <w:pPr>
              <w:pStyle w:val="BodyText"/>
              <w:jc w:val="center"/>
              <w:cnfStyle w:val="100000000000" w:firstRow="1" w:lastRow="0" w:firstColumn="0" w:lastColumn="0" w:oddVBand="0" w:evenVBand="0" w:oddHBand="0" w:evenHBand="0" w:firstRowFirstColumn="0" w:firstRowLastColumn="0" w:lastRowFirstColumn="0" w:lastRowLastColumn="0"/>
            </w:pPr>
            <w:r>
              <w:t>Comment</w:t>
            </w:r>
          </w:p>
        </w:tc>
      </w:tr>
      <w:tr w:rsidR="00B7344A" w14:paraId="00F0308B" w14:textId="77777777" w:rsidTr="00B734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6FC8066" w14:textId="67621FF6" w:rsidR="00B7344A" w:rsidRPr="00B7344A" w:rsidRDefault="00B7344A" w:rsidP="00940BB5">
            <w:pPr>
              <w:pStyle w:val="BodyText"/>
              <w:rPr>
                <w:b w:val="0"/>
                <w:bCs w:val="0"/>
              </w:rPr>
            </w:pPr>
            <w:r w:rsidRPr="00B7344A">
              <w:rPr>
                <w:b w:val="0"/>
                <w:bCs w:val="0"/>
              </w:rPr>
              <w:t>SIB2, SIB3, SIB4, and SIB5</w:t>
            </w:r>
          </w:p>
        </w:tc>
        <w:tc>
          <w:tcPr>
            <w:tcW w:w="4815" w:type="dxa"/>
          </w:tcPr>
          <w:p w14:paraId="31F8C947" w14:textId="77777777" w:rsidR="00B7344A" w:rsidRDefault="00B7344A" w:rsidP="00940BB5">
            <w:pPr>
              <w:pStyle w:val="BodyText"/>
              <w:cnfStyle w:val="000000100000" w:firstRow="0" w:lastRow="0" w:firstColumn="0" w:lastColumn="0" w:oddVBand="0" w:evenVBand="0" w:oddHBand="1" w:evenHBand="0" w:firstRowFirstColumn="0" w:firstRowLastColumn="0" w:lastRowFirstColumn="0" w:lastRowLastColumn="0"/>
            </w:pPr>
            <w:r w:rsidRPr="00B7344A">
              <w:t>These SIBs are used to perform cell selection reselection, but the remote UE may be out of coverage or even in another cell</w:t>
            </w:r>
            <w:r>
              <w:t xml:space="preserve"> while connected to </w:t>
            </w:r>
            <w:r>
              <w:lastRenderedPageBreak/>
              <w:t>a relay UE</w:t>
            </w:r>
            <w:r w:rsidRPr="00B7344A">
              <w:t xml:space="preserve">. </w:t>
            </w:r>
            <w:r>
              <w:t>Thus, is unclear</w:t>
            </w:r>
            <w:r w:rsidRPr="00B7344A">
              <w:t xml:space="preserve"> why these SIBs are needed and what is the use that the remote UE can do of them.</w:t>
            </w:r>
          </w:p>
          <w:p w14:paraId="1FD6726B" w14:textId="6CF9DFAF" w:rsidR="009835E0" w:rsidRDefault="009835E0" w:rsidP="00940BB5">
            <w:pPr>
              <w:pStyle w:val="BodyText"/>
              <w:cnfStyle w:val="000000100000" w:firstRow="0" w:lastRow="0" w:firstColumn="0" w:lastColumn="0" w:oddVBand="0" w:evenVBand="0" w:oddHBand="1" w:evenHBand="0" w:firstRowFirstColumn="0" w:firstRowLastColumn="0" w:lastRowFirstColumn="0" w:lastRowLastColumn="0"/>
            </w:pPr>
            <w:r>
              <w:t>Note: for the case when the remote UE is in-coverage the remote UE may acquire these SIBs by itself, based on currently agreed procedures.</w:t>
            </w:r>
          </w:p>
        </w:tc>
      </w:tr>
      <w:tr w:rsidR="00B7344A" w14:paraId="00B92A6C" w14:textId="77777777" w:rsidTr="00B7344A">
        <w:tc>
          <w:tcPr>
            <w:cnfStyle w:val="001000000000" w:firstRow="0" w:lastRow="0" w:firstColumn="1" w:lastColumn="0" w:oddVBand="0" w:evenVBand="0" w:oddHBand="0" w:evenHBand="0" w:firstRowFirstColumn="0" w:firstRowLastColumn="0" w:lastRowFirstColumn="0" w:lastRowLastColumn="0"/>
            <w:tcW w:w="4814" w:type="dxa"/>
          </w:tcPr>
          <w:p w14:paraId="1982E46B" w14:textId="70FF931F" w:rsidR="00B7344A" w:rsidRPr="00B7344A" w:rsidRDefault="00B7344A" w:rsidP="00940BB5">
            <w:pPr>
              <w:pStyle w:val="BodyText"/>
              <w:rPr>
                <w:b w:val="0"/>
                <w:bCs w:val="0"/>
              </w:rPr>
            </w:pPr>
            <w:r w:rsidRPr="00B7344A">
              <w:rPr>
                <w:b w:val="0"/>
                <w:bCs w:val="0"/>
              </w:rPr>
              <w:lastRenderedPageBreak/>
              <w:t>SIB6, SIB7, SIB8</w:t>
            </w:r>
          </w:p>
        </w:tc>
        <w:tc>
          <w:tcPr>
            <w:tcW w:w="4815" w:type="dxa"/>
          </w:tcPr>
          <w:p w14:paraId="3B6B4107" w14:textId="77777777" w:rsidR="00B7344A" w:rsidRDefault="00B7344A" w:rsidP="00940BB5">
            <w:pPr>
              <w:pStyle w:val="BodyText"/>
              <w:cnfStyle w:val="000000000000" w:firstRow="0" w:lastRow="0" w:firstColumn="0" w:lastColumn="0" w:oddVBand="0" w:evenVBand="0" w:oddHBand="0" w:evenHBand="0" w:firstRowFirstColumn="0" w:firstRowLastColumn="0" w:lastRowFirstColumn="0" w:lastRowLastColumn="0"/>
            </w:pPr>
            <w:r w:rsidRPr="00B7344A">
              <w:t xml:space="preserve">These are SIBs related to ETWS and CMAS and we are not sure based on what the remote UE can request these SIBs on-demand, given that the remote UE does not know if there is a warning or not. </w:t>
            </w:r>
          </w:p>
          <w:p w14:paraId="49AE5ABC" w14:textId="7C3B18C8" w:rsidR="00B7344A" w:rsidRDefault="00B7344A" w:rsidP="00940BB5">
            <w:pPr>
              <w:pStyle w:val="BodyText"/>
              <w:cnfStyle w:val="000000000000" w:firstRow="0" w:lastRow="0" w:firstColumn="0" w:lastColumn="0" w:oddVBand="0" w:evenVBand="0" w:oddHBand="0" w:evenHBand="0" w:firstRowFirstColumn="0" w:firstRowLastColumn="0" w:lastRowFirstColumn="0" w:lastRowLastColumn="0"/>
            </w:pPr>
            <w:r w:rsidRPr="00B7344A">
              <w:t xml:space="preserve">On top of these, some regulations require that a UE should not get false warning messages in order to not lose the trust on those. </w:t>
            </w:r>
            <w:r>
              <w:t>Since</w:t>
            </w:r>
            <w:r w:rsidRPr="00B7344A">
              <w:t xml:space="preserve"> some </w:t>
            </w:r>
            <w:r>
              <w:t>of these</w:t>
            </w:r>
            <w:r w:rsidRPr="00B7344A">
              <w:t xml:space="preserve"> SIBs can carry an information that is cell-specific </w:t>
            </w:r>
            <w:r>
              <w:t>is not clear how a</w:t>
            </w:r>
            <w:r w:rsidRPr="00B7344A">
              <w:t xml:space="preserve"> UE can perceive th</w:t>
            </w:r>
            <w:r w:rsidR="00BA2478">
              <w:t>i</w:t>
            </w:r>
            <w:r w:rsidRPr="00B7344A">
              <w:t>s info if it is camping in another cell.</w:t>
            </w:r>
          </w:p>
          <w:p w14:paraId="4D819EE2" w14:textId="293C2351" w:rsidR="00B7344A" w:rsidRDefault="00836EC3" w:rsidP="00940BB5">
            <w:pPr>
              <w:pStyle w:val="BodyText"/>
              <w:cnfStyle w:val="000000000000" w:firstRow="0" w:lastRow="0" w:firstColumn="0" w:lastColumn="0" w:oddVBand="0" w:evenVBand="0" w:oddHBand="0" w:evenHBand="0" w:firstRowFirstColumn="0" w:firstRowLastColumn="0" w:lastRowFirstColumn="0" w:lastRowLastColumn="0"/>
            </w:pPr>
            <w:r>
              <w:t>Note, it has been agreed already in RAN2 that a relay UE forwards these SIBs to a UE out-of-coverage when the relay receives them. And with this, we don’t see a need for the remote UE to request these SIBs.</w:t>
            </w:r>
          </w:p>
        </w:tc>
      </w:tr>
      <w:tr w:rsidR="00B7344A" w14:paraId="20D11997" w14:textId="77777777" w:rsidTr="00B734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A9D12A7" w14:textId="15BE46A8" w:rsidR="00B7344A" w:rsidRPr="00B7344A" w:rsidRDefault="00B7344A" w:rsidP="00940BB5">
            <w:pPr>
              <w:pStyle w:val="BodyText"/>
              <w:rPr>
                <w:b w:val="0"/>
                <w:bCs w:val="0"/>
              </w:rPr>
            </w:pPr>
            <w:r w:rsidRPr="00B7344A">
              <w:rPr>
                <w:b w:val="0"/>
                <w:bCs w:val="0"/>
              </w:rPr>
              <w:t>SIB9</w:t>
            </w:r>
          </w:p>
        </w:tc>
        <w:tc>
          <w:tcPr>
            <w:tcW w:w="4815" w:type="dxa"/>
          </w:tcPr>
          <w:p w14:paraId="1486AB71" w14:textId="156B751A" w:rsidR="00B7344A" w:rsidRDefault="00B7344A" w:rsidP="00940BB5">
            <w:pPr>
              <w:pStyle w:val="BodyText"/>
              <w:cnfStyle w:val="000000100000" w:firstRow="0" w:lastRow="0" w:firstColumn="0" w:lastColumn="0" w:oddVBand="0" w:evenVBand="0" w:oddHBand="1" w:evenHBand="0" w:firstRowFirstColumn="0" w:firstRowLastColumn="0" w:lastRowFirstColumn="0" w:lastRowLastColumn="0"/>
            </w:pPr>
            <w:r w:rsidRPr="00B7344A">
              <w:t xml:space="preserve">Whether this SIB was allowed to be requested on-demand was expensively discussed in Rel-16 and the outcome was that the UE will not request this </w:t>
            </w:r>
            <w:r>
              <w:t xml:space="preserve">with the </w:t>
            </w:r>
            <w:r w:rsidRPr="00B7344A">
              <w:t>on-demand</w:t>
            </w:r>
            <w:r>
              <w:t xml:space="preserve"> SIB framework</w:t>
            </w:r>
            <w:r w:rsidRPr="00B7344A">
              <w:t xml:space="preserve"> but will rather use the </w:t>
            </w:r>
            <w:proofErr w:type="spellStart"/>
            <w:r w:rsidRPr="00B7344A">
              <w:t>UEAssistanceInformation</w:t>
            </w:r>
            <w:proofErr w:type="spellEnd"/>
            <w:r w:rsidRPr="00B7344A">
              <w:t xml:space="preserve"> </w:t>
            </w:r>
            <w:r>
              <w:t xml:space="preserve">message </w:t>
            </w:r>
            <w:r w:rsidRPr="00B7344A">
              <w:t xml:space="preserve">to inform the gNB that time reference information </w:t>
            </w:r>
            <w:r w:rsidR="00836EC3">
              <w:t>is</w:t>
            </w:r>
            <w:r w:rsidRPr="00B7344A">
              <w:t xml:space="preserve"> needed. </w:t>
            </w:r>
          </w:p>
          <w:p w14:paraId="56E16AF5" w14:textId="2FF4C900" w:rsidR="00B7344A" w:rsidRDefault="00C678F8" w:rsidP="00940BB5">
            <w:pPr>
              <w:pStyle w:val="BodyText"/>
              <w:cnfStyle w:val="000000100000" w:firstRow="0" w:lastRow="0" w:firstColumn="0" w:lastColumn="0" w:oddVBand="0" w:evenVBand="0" w:oddHBand="1" w:evenHBand="0" w:firstRowFirstColumn="0" w:firstRowLastColumn="0" w:lastRowFirstColumn="0" w:lastRowLastColumn="0"/>
            </w:pPr>
            <w:r>
              <w:t>While is it indeed not desirable to have yet a different solution on what it was agreed in Rel-16 and jeopardize possible implementation regarding this, it is also unclear how a remote UE can use time information used for very tight sync while the remote UE is connected with the network via a relay UE, and the delay over the PC5 link is not taken into account in the calculation of the 5G clock.</w:t>
            </w:r>
            <w:r w:rsidR="00836EC3">
              <w:t xml:space="preserve"> Also, the timing info in SIB9 may not be applicable to a remote UE which is out of coverage.</w:t>
            </w:r>
          </w:p>
        </w:tc>
      </w:tr>
      <w:tr w:rsidR="00B7344A" w14:paraId="33C085D8" w14:textId="77777777" w:rsidTr="00B7344A">
        <w:tc>
          <w:tcPr>
            <w:cnfStyle w:val="001000000000" w:firstRow="0" w:lastRow="0" w:firstColumn="1" w:lastColumn="0" w:oddVBand="0" w:evenVBand="0" w:oddHBand="0" w:evenHBand="0" w:firstRowFirstColumn="0" w:firstRowLastColumn="0" w:lastRowFirstColumn="0" w:lastRowLastColumn="0"/>
            <w:tcW w:w="4814" w:type="dxa"/>
          </w:tcPr>
          <w:p w14:paraId="16A13A7D" w14:textId="326C7B8A" w:rsidR="00B7344A" w:rsidRPr="00B7344A" w:rsidRDefault="00B7344A" w:rsidP="00940BB5">
            <w:pPr>
              <w:pStyle w:val="BodyText"/>
              <w:rPr>
                <w:b w:val="0"/>
                <w:bCs w:val="0"/>
              </w:rPr>
            </w:pPr>
            <w:r w:rsidRPr="00B7344A">
              <w:rPr>
                <w:b w:val="0"/>
                <w:bCs w:val="0"/>
              </w:rPr>
              <w:t xml:space="preserve">SIB10, SIB11, SIB13, SIB14, </w:t>
            </w:r>
            <w:proofErr w:type="spellStart"/>
            <w:r w:rsidRPr="00B7344A">
              <w:rPr>
                <w:b w:val="0"/>
                <w:bCs w:val="0"/>
              </w:rPr>
              <w:t>posSIBs</w:t>
            </w:r>
            <w:proofErr w:type="spellEnd"/>
          </w:p>
        </w:tc>
        <w:tc>
          <w:tcPr>
            <w:tcW w:w="4815" w:type="dxa"/>
          </w:tcPr>
          <w:p w14:paraId="7141E148" w14:textId="567816B3" w:rsidR="00C678F8" w:rsidRDefault="00C678F8" w:rsidP="00940BB5">
            <w:pPr>
              <w:pStyle w:val="BodyText"/>
              <w:cnfStyle w:val="000000000000" w:firstRow="0" w:lastRow="0" w:firstColumn="0" w:lastColumn="0" w:oddVBand="0" w:evenVBand="0" w:oddHBand="0" w:evenHBand="0" w:firstRowFirstColumn="0" w:firstRowLastColumn="0" w:lastRowFirstColumn="0" w:lastRowLastColumn="0"/>
            </w:pPr>
            <w:r w:rsidRPr="00C678F8">
              <w:t xml:space="preserve">According to the </w:t>
            </w:r>
            <w:r>
              <w:t xml:space="preserve">Rel-17 SL relay </w:t>
            </w:r>
            <w:r w:rsidRPr="00C678F8">
              <w:t xml:space="preserve">WID, our understanding is that it was never in the scope to make the SL relay </w:t>
            </w:r>
            <w:r>
              <w:t xml:space="preserve">feature </w:t>
            </w:r>
            <w:r w:rsidRPr="00C678F8">
              <w:t>to work together with other W</w:t>
            </w:r>
            <w:r w:rsidR="00836EC3">
              <w:t>I</w:t>
            </w:r>
            <w:r w:rsidRPr="00C678F8">
              <w:t xml:space="preserve">s (or feature specified in other Wis). </w:t>
            </w:r>
          </w:p>
          <w:p w14:paraId="424D8A54" w14:textId="4E05CF06" w:rsidR="00B7344A" w:rsidRDefault="00C678F8" w:rsidP="00940BB5">
            <w:pPr>
              <w:pStyle w:val="BodyText"/>
              <w:cnfStyle w:val="000000000000" w:firstRow="0" w:lastRow="0" w:firstColumn="0" w:lastColumn="0" w:oddVBand="0" w:evenVBand="0" w:oddHBand="0" w:evenHBand="0" w:firstRowFirstColumn="0" w:firstRowLastColumn="0" w:lastRowFirstColumn="0" w:lastRowLastColumn="0"/>
            </w:pPr>
            <w:r w:rsidRPr="00C678F8">
              <w:t xml:space="preserve">On top of this, for </w:t>
            </w:r>
            <w:proofErr w:type="spellStart"/>
            <w:r w:rsidRPr="00C678F8">
              <w:t>posSIB</w:t>
            </w:r>
            <w:proofErr w:type="spellEnd"/>
            <w:r w:rsidRPr="00C678F8">
              <w:t xml:space="preserve"> there is also a bit </w:t>
            </w:r>
            <w:r>
              <w:t xml:space="preserve">of a </w:t>
            </w:r>
            <w:r w:rsidRPr="00C678F8">
              <w:t xml:space="preserve">concern on whether all the </w:t>
            </w:r>
            <w:proofErr w:type="spellStart"/>
            <w:r w:rsidRPr="00C678F8">
              <w:t>posSIB</w:t>
            </w:r>
            <w:proofErr w:type="spellEnd"/>
            <w:r w:rsidRPr="00C678F8">
              <w:t xml:space="preserve"> are really useful at the remote UE or not. Same apply for SIB11, whether we are not sure how the remote UE can support SIB11 if it does not support the EMR feature.</w:t>
            </w:r>
          </w:p>
        </w:tc>
      </w:tr>
    </w:tbl>
    <w:p w14:paraId="54447490" w14:textId="56444745" w:rsidR="00B7344A" w:rsidRDefault="00B7344A" w:rsidP="00940BB5">
      <w:pPr>
        <w:pStyle w:val="BodyText"/>
      </w:pPr>
    </w:p>
    <w:p w14:paraId="026F11B0" w14:textId="26EC9840" w:rsidR="00C678F8" w:rsidRDefault="00C678F8" w:rsidP="00C678F8">
      <w:pPr>
        <w:pStyle w:val="BodyText"/>
      </w:pPr>
      <w:r>
        <w:t xml:space="preserve">While the possibility for a remote UE to ask any SIB from a relay UE may look simple and easy to implement, this is not as simple from a functional perspective. Going into this direction, the remote UE may ask </w:t>
      </w:r>
      <w:r w:rsidR="00CA6E3C">
        <w:t xml:space="preserve">for </w:t>
      </w:r>
      <w:r>
        <w:t>SIBs that may not be possible to use</w:t>
      </w:r>
      <w:r w:rsidR="00CA6E3C">
        <w:t>,</w:t>
      </w:r>
      <w:r>
        <w:t xml:space="preserve"> thus causing power saving issues on the relay UE and resource waste for the network.</w:t>
      </w:r>
    </w:p>
    <w:p w14:paraId="146F0713" w14:textId="7183B583" w:rsidR="00C678F8" w:rsidRDefault="00C678F8" w:rsidP="00C678F8">
      <w:pPr>
        <w:pStyle w:val="Proposal"/>
      </w:pPr>
      <w:bookmarkStart w:id="2" w:name="_Toc89095406"/>
      <w:r>
        <w:t>RAN to clarify in the Rel-17 SL Relay WID that only SIB</w:t>
      </w:r>
      <w:r w:rsidR="00181CF3">
        <w:t>s</w:t>
      </w:r>
      <w:r>
        <w:t xml:space="preserve"> related to SL relay operation should be considered in the control plane objective.</w:t>
      </w:r>
      <w:bookmarkEnd w:id="2"/>
    </w:p>
    <w:p w14:paraId="16197251" w14:textId="4113CF4A" w:rsidR="00181CF3" w:rsidRDefault="00181CF3" w:rsidP="00181CF3">
      <w:pPr>
        <w:pStyle w:val="Heading3"/>
      </w:pPr>
      <w:r>
        <w:lastRenderedPageBreak/>
        <w:t>2.2</w:t>
      </w:r>
      <w:r>
        <w:tab/>
        <w:t xml:space="preserve">Whether to </w:t>
      </w:r>
      <w:r w:rsidRPr="00181CF3">
        <w:t>support</w:t>
      </w:r>
      <w:r>
        <w:t xml:space="preserve"> RAN sharing</w:t>
      </w:r>
    </w:p>
    <w:p w14:paraId="30041197" w14:textId="58DBD065" w:rsidR="00181CF3" w:rsidRDefault="00181CF3" w:rsidP="00181CF3">
      <w:pPr>
        <w:pStyle w:val="BodyText"/>
      </w:pPr>
      <w:r>
        <w:t xml:space="preserve">In the last RAN2#116e meeting, RAN2 received an LS from SA2 in </w:t>
      </w:r>
      <w:hyperlink r:id="rId12" w:history="1">
        <w:r w:rsidRPr="00181CF3">
          <w:rPr>
            <w:rStyle w:val="Hyperlink"/>
          </w:rPr>
          <w:t>R2-2111236</w:t>
        </w:r>
      </w:hyperlink>
      <w:r w:rsidR="00D054FE">
        <w:t xml:space="preserve"> where one of the question was related on whether RAN sharing was supported for SL relay (i.e., from a RAN perspective):</w:t>
      </w:r>
    </w:p>
    <w:p w14:paraId="1CAB0CB0" w14:textId="77777777" w:rsidR="00D054FE" w:rsidRPr="00D054FE" w:rsidRDefault="00D054FE" w:rsidP="00D054FE">
      <w:pPr>
        <w:pBdr>
          <w:top w:val="single" w:sz="4" w:space="1" w:color="auto"/>
          <w:left w:val="single" w:sz="4" w:space="4" w:color="auto"/>
          <w:bottom w:val="single" w:sz="4" w:space="1" w:color="auto"/>
          <w:right w:val="single" w:sz="4" w:space="4" w:color="auto"/>
        </w:pBdr>
        <w:rPr>
          <w:rFonts w:ascii="Arial" w:hAnsi="Arial" w:cs="Arial"/>
          <w:i/>
          <w:iCs/>
        </w:rPr>
      </w:pPr>
      <w:r w:rsidRPr="00D054FE">
        <w:rPr>
          <w:rFonts w:ascii="Arial" w:hAnsi="Arial" w:cs="Arial" w:hint="eastAsia"/>
          <w:i/>
          <w:iCs/>
        </w:rPr>
        <w:t xml:space="preserve">1) </w:t>
      </w:r>
      <w:r w:rsidRPr="00D054FE">
        <w:rPr>
          <w:rFonts w:ascii="Arial" w:hAnsi="Arial" w:cs="Arial" w:hint="eastAsia"/>
          <w:i/>
          <w:iCs/>
          <w:highlight w:val="yellow"/>
        </w:rPr>
        <w:t>SA2 has assumed</w:t>
      </w:r>
      <w:r w:rsidRPr="00D054FE">
        <w:rPr>
          <w:rFonts w:ascii="Arial" w:hAnsi="Arial" w:cs="Arial" w:hint="eastAsia"/>
          <w:i/>
          <w:iCs/>
        </w:rPr>
        <w:t xml:space="preserve"> </w:t>
      </w:r>
      <w:r w:rsidRPr="00D054FE">
        <w:rPr>
          <w:rFonts w:ascii="Arial" w:hAnsi="Arial" w:cs="Arial"/>
          <w:i/>
          <w:iCs/>
        </w:rPr>
        <w:t>5G MOCN architecture</w:t>
      </w:r>
      <w:r w:rsidRPr="00D054FE">
        <w:rPr>
          <w:rFonts w:ascii="Arial" w:hAnsi="Arial" w:cs="Arial" w:hint="eastAsia"/>
          <w:i/>
          <w:iCs/>
        </w:rPr>
        <w:t xml:space="preserve"> is supported for 5G </w:t>
      </w:r>
      <w:proofErr w:type="spellStart"/>
      <w:r w:rsidRPr="00D054FE">
        <w:rPr>
          <w:rFonts w:ascii="Arial" w:hAnsi="Arial" w:cs="Arial" w:hint="eastAsia"/>
          <w:i/>
          <w:iCs/>
        </w:rPr>
        <w:t>ProSe</w:t>
      </w:r>
      <w:proofErr w:type="spellEnd"/>
      <w:r w:rsidRPr="00D054FE">
        <w:rPr>
          <w:rFonts w:ascii="Arial" w:hAnsi="Arial" w:cs="Arial" w:hint="eastAsia"/>
          <w:i/>
          <w:iCs/>
        </w:rPr>
        <w:t xml:space="preserve"> Layer-2 UE-to-Network Relay as described in clause 4.2.7.2 of TS 23.304, and </w:t>
      </w:r>
      <w:r w:rsidRPr="00D054FE">
        <w:rPr>
          <w:rFonts w:ascii="Arial" w:hAnsi="Arial" w:cs="Arial" w:hint="eastAsia"/>
          <w:i/>
          <w:iCs/>
          <w:highlight w:val="green"/>
        </w:rPr>
        <w:t>would like to ask RAN2 to confirm this assumption</w:t>
      </w:r>
      <w:r w:rsidRPr="00D054FE">
        <w:rPr>
          <w:rFonts w:ascii="Arial" w:hAnsi="Arial" w:cs="Arial" w:hint="eastAsia"/>
          <w:i/>
          <w:iCs/>
        </w:rPr>
        <w:t xml:space="preserve">. </w:t>
      </w:r>
      <w:r w:rsidRPr="00D054FE">
        <w:rPr>
          <w:rFonts w:ascii="Arial" w:hAnsi="Arial" w:cs="Arial"/>
          <w:i/>
          <w:iCs/>
        </w:rPr>
        <w:t xml:space="preserve">SA2 has also </w:t>
      </w:r>
      <w:r w:rsidRPr="00D054FE">
        <w:rPr>
          <w:rFonts w:ascii="Arial" w:hAnsi="Arial" w:cs="Arial" w:hint="eastAsia"/>
          <w:i/>
          <w:iCs/>
        </w:rPr>
        <w:t>realized</w:t>
      </w:r>
      <w:r w:rsidRPr="00D054FE">
        <w:rPr>
          <w:rFonts w:ascii="Arial" w:hAnsi="Arial" w:cs="Arial"/>
          <w:i/>
          <w:iCs/>
        </w:rPr>
        <w:t xml:space="preserve"> PLMN IDs are required</w:t>
      </w:r>
      <w:r w:rsidRPr="00D054FE">
        <w:rPr>
          <w:rFonts w:ascii="Arial" w:hAnsi="Arial" w:cs="Arial" w:hint="eastAsia"/>
          <w:i/>
          <w:iCs/>
        </w:rPr>
        <w:t xml:space="preserve"> (before Layer-2 link has been </w:t>
      </w:r>
      <w:r w:rsidRPr="00D054FE">
        <w:rPr>
          <w:rFonts w:ascii="Arial" w:hAnsi="Arial" w:cs="Arial"/>
          <w:i/>
          <w:iCs/>
        </w:rPr>
        <w:t>established</w:t>
      </w:r>
      <w:r w:rsidRPr="00D054FE">
        <w:rPr>
          <w:rFonts w:ascii="Arial" w:hAnsi="Arial" w:cs="Arial" w:hint="eastAsia"/>
          <w:i/>
          <w:iCs/>
        </w:rPr>
        <w:t>)</w:t>
      </w:r>
      <w:r w:rsidRPr="00D054FE">
        <w:rPr>
          <w:rFonts w:ascii="Arial" w:hAnsi="Arial" w:cs="Arial"/>
          <w:i/>
          <w:iCs/>
        </w:rPr>
        <w:t xml:space="preserve"> for the </w:t>
      </w:r>
      <w:r w:rsidRPr="00D054FE">
        <w:rPr>
          <w:rFonts w:ascii="Arial" w:hAnsi="Arial" w:cs="Arial" w:hint="eastAsia"/>
          <w:i/>
          <w:iCs/>
        </w:rPr>
        <w:t>Layer-2 Remote UE</w:t>
      </w:r>
      <w:r w:rsidRPr="00D054FE">
        <w:rPr>
          <w:rFonts w:ascii="Arial" w:hAnsi="Arial" w:cs="Arial"/>
          <w:i/>
          <w:iCs/>
        </w:rPr>
        <w:t xml:space="preserve"> </w:t>
      </w:r>
      <w:r w:rsidRPr="00D054FE">
        <w:rPr>
          <w:rFonts w:ascii="Arial" w:hAnsi="Arial" w:cs="Arial" w:hint="eastAsia"/>
          <w:i/>
          <w:iCs/>
        </w:rPr>
        <w:t xml:space="preserve">to perform PLMN selection as well as Relay selection under 5G MOCN architecture, </w:t>
      </w:r>
      <w:r w:rsidRPr="00D054FE">
        <w:rPr>
          <w:rFonts w:ascii="Arial" w:hAnsi="Arial" w:cs="Arial"/>
          <w:i/>
          <w:iCs/>
        </w:rPr>
        <w:t>and</w:t>
      </w:r>
      <w:r w:rsidRPr="00D054FE">
        <w:rPr>
          <w:rFonts w:ascii="Arial" w:hAnsi="Arial" w:cs="Arial" w:hint="eastAsia"/>
          <w:i/>
          <w:iCs/>
        </w:rPr>
        <w:t xml:space="preserve"> </w:t>
      </w:r>
      <w:r w:rsidRPr="00D054FE">
        <w:rPr>
          <w:rFonts w:ascii="Arial" w:hAnsi="Arial" w:cs="Arial"/>
          <w:i/>
          <w:iCs/>
        </w:rPr>
        <w:t>would</w:t>
      </w:r>
      <w:r w:rsidRPr="00D054FE">
        <w:rPr>
          <w:rFonts w:ascii="Arial" w:hAnsi="Arial" w:cs="Arial" w:hint="eastAsia"/>
          <w:i/>
          <w:iCs/>
        </w:rPr>
        <w:t xml:space="preserve"> like to know whether PLMN IDs are forwarded by Layer-2 UE-to-Network Relay to Layer-2 Remote UE via the AS layer message.</w:t>
      </w:r>
    </w:p>
    <w:p w14:paraId="76685C54" w14:textId="39B871FF" w:rsidR="00D054FE" w:rsidRDefault="00D054FE" w:rsidP="00181CF3">
      <w:pPr>
        <w:pStyle w:val="BodyText"/>
      </w:pPr>
      <w:r>
        <w:t xml:space="preserve">Our understanding of this topic is that it was never in the scope </w:t>
      </w:r>
      <w:r w:rsidR="005E698D">
        <w:t xml:space="preserve">of either </w:t>
      </w:r>
      <w:r>
        <w:t>the Rel-17 SL</w:t>
      </w:r>
      <w:r w:rsidR="00983D28">
        <w:t xml:space="preserve"> Relay SI </w:t>
      </w:r>
      <w:r w:rsidR="005E698D">
        <w:t xml:space="preserve">or </w:t>
      </w:r>
      <w:r w:rsidR="00983D28">
        <w:t>the Rel-17 SL Relay WI.</w:t>
      </w:r>
      <w:r w:rsidR="00F03638">
        <w:t xml:space="preserve"> </w:t>
      </w:r>
    </w:p>
    <w:p w14:paraId="2B9AF506" w14:textId="75E5C07B" w:rsidR="00983D28" w:rsidRDefault="00983D28" w:rsidP="00983D28">
      <w:pPr>
        <w:pStyle w:val="Observation"/>
      </w:pPr>
      <w:bookmarkStart w:id="3" w:name="_Toc89095409"/>
      <w:r>
        <w:t xml:space="preserve">The support of RAN sharing was not in the scope </w:t>
      </w:r>
      <w:r w:rsidR="00911540">
        <w:t xml:space="preserve">of either </w:t>
      </w:r>
      <w:r>
        <w:t xml:space="preserve">the Rel-17 SL Relay SI </w:t>
      </w:r>
      <w:r w:rsidR="00911540">
        <w:t xml:space="preserve">or </w:t>
      </w:r>
      <w:r>
        <w:t>the Rel-17 SL Relay WI.</w:t>
      </w:r>
      <w:bookmarkEnd w:id="3"/>
    </w:p>
    <w:p w14:paraId="6A0FE176" w14:textId="28AF724A" w:rsidR="00983D28" w:rsidRDefault="00F03638" w:rsidP="00983D28">
      <w:pPr>
        <w:pStyle w:val="BodyText"/>
      </w:pPr>
      <w:r>
        <w:t xml:space="preserve">One may argue that RAN sharing shall always work however and </w:t>
      </w:r>
      <w:r w:rsidR="00983D28">
        <w:t xml:space="preserve">RAN sharing may be useful in certain deployments, </w:t>
      </w:r>
      <w:r>
        <w:t xml:space="preserve">however </w:t>
      </w:r>
      <w:r w:rsidR="00983D28">
        <w:t>the main obstacle for supporting this from a RAN perspective is the little time left to close the WI</w:t>
      </w:r>
      <w:r>
        <w:t xml:space="preserve"> and the impact is non-trivial</w:t>
      </w:r>
      <w:r w:rsidR="00983D28">
        <w:t xml:space="preserve">.  </w:t>
      </w:r>
      <w:r w:rsidR="00E34641">
        <w:t>Since RAN2 never investigated how to support this scenario, it is not clear indeed what is the real impact of this in the control plane and user plane procedure. At a first glance, possible issues that needs to be discussed and solved are the following:</w:t>
      </w:r>
    </w:p>
    <w:p w14:paraId="69BD5A8C" w14:textId="40CBAD5F" w:rsidR="00E34641" w:rsidRPr="00E34641" w:rsidRDefault="00E34641" w:rsidP="00E34641">
      <w:pPr>
        <w:pStyle w:val="BodyText"/>
        <w:numPr>
          <w:ilvl w:val="0"/>
          <w:numId w:val="24"/>
        </w:numPr>
      </w:pPr>
      <w:r w:rsidRPr="00E34641">
        <w:t>Impacts on interfaces</w:t>
      </w:r>
      <w:r w:rsidR="00672009">
        <w:t xml:space="preserve"> (as described in clause 6.41 of TR 23.752)</w:t>
      </w:r>
    </w:p>
    <w:p w14:paraId="48B98F2E" w14:textId="2F0F502B" w:rsidR="00E34641" w:rsidRDefault="00F03638" w:rsidP="00E34641">
      <w:pPr>
        <w:pStyle w:val="BodyText"/>
        <w:numPr>
          <w:ilvl w:val="1"/>
          <w:numId w:val="24"/>
        </w:numPr>
      </w:pPr>
      <w:r>
        <w:t>Information provided form CN allowing t</w:t>
      </w:r>
      <w:r w:rsidR="00E34641" w:rsidRPr="00E34641">
        <w:t xml:space="preserve">he Remote UE </w:t>
      </w:r>
      <w:r>
        <w:t xml:space="preserve">to </w:t>
      </w:r>
      <w:r w:rsidR="00E34641" w:rsidRPr="00E34641">
        <w:t xml:space="preserve">authorize the PLMNs information for </w:t>
      </w:r>
      <w:r>
        <w:t xml:space="preserve">the </w:t>
      </w:r>
      <w:r w:rsidR="00E34641" w:rsidRPr="00E34641">
        <w:t>relay.</w:t>
      </w:r>
    </w:p>
    <w:p w14:paraId="3A81EA9F" w14:textId="77777777" w:rsidR="00E34641" w:rsidRDefault="00E34641" w:rsidP="00E34641">
      <w:pPr>
        <w:pStyle w:val="BodyText"/>
        <w:numPr>
          <w:ilvl w:val="1"/>
          <w:numId w:val="24"/>
        </w:numPr>
      </w:pPr>
      <w:r w:rsidRPr="00E34641">
        <w:t>The Relay UE indicates the serving PLMN information in discovery message.</w:t>
      </w:r>
    </w:p>
    <w:p w14:paraId="61F788F4" w14:textId="77777777" w:rsidR="00E34641" w:rsidRDefault="00E34641" w:rsidP="00E34641">
      <w:pPr>
        <w:pStyle w:val="BodyText"/>
        <w:numPr>
          <w:ilvl w:val="1"/>
          <w:numId w:val="24"/>
        </w:numPr>
      </w:pPr>
      <w:r w:rsidRPr="00E34641">
        <w:t>The Relay UE forwards the System Information of the camped cell including the supported PLMNs.</w:t>
      </w:r>
    </w:p>
    <w:p w14:paraId="1E41F0A6" w14:textId="77777777" w:rsidR="00E34641" w:rsidRDefault="00E34641" w:rsidP="00E34641">
      <w:pPr>
        <w:pStyle w:val="BodyText"/>
        <w:numPr>
          <w:ilvl w:val="1"/>
          <w:numId w:val="24"/>
        </w:numPr>
      </w:pPr>
      <w:r w:rsidRPr="00E34641">
        <w:t>The Remote UE checks whether the Relay's PLMN is authorized for relay, and only the authorized PLMNs can be the available PLMNs for NAS PLMN selection.</w:t>
      </w:r>
    </w:p>
    <w:p w14:paraId="7AEB0827" w14:textId="2B8B68D8" w:rsidR="00E34641" w:rsidRPr="00E34641" w:rsidRDefault="00E34641" w:rsidP="00E34641">
      <w:pPr>
        <w:pStyle w:val="BodyText"/>
        <w:numPr>
          <w:ilvl w:val="1"/>
          <w:numId w:val="24"/>
        </w:numPr>
      </w:pPr>
      <w:r w:rsidRPr="00E34641">
        <w:t>The Remote UE selects the Relay based on the selected PLMN by NAS layer.</w:t>
      </w:r>
    </w:p>
    <w:p w14:paraId="3EB363D1" w14:textId="2077A433" w:rsidR="00E34641" w:rsidRDefault="00E34641" w:rsidP="00E34641">
      <w:pPr>
        <w:pStyle w:val="BodyText"/>
        <w:numPr>
          <w:ilvl w:val="0"/>
          <w:numId w:val="24"/>
        </w:numPr>
      </w:pPr>
      <w:r w:rsidRPr="00E34641">
        <w:t>Potential issues in RAN (e.g.,</w:t>
      </w:r>
      <w:r w:rsidR="00447A61">
        <w:t xml:space="preserve"> </w:t>
      </w:r>
      <w:r w:rsidR="00A5751E">
        <w:t>as</w:t>
      </w:r>
      <w:r w:rsidR="00A11DC7">
        <w:t xml:space="preserve"> indicated by </w:t>
      </w:r>
      <w:r w:rsidR="00A5751E">
        <w:t xml:space="preserve">in </w:t>
      </w:r>
      <w:hyperlink r:id="rId13" w:history="1">
        <w:r w:rsidR="00A5751E" w:rsidRPr="00CD473A">
          <w:rPr>
            <w:rStyle w:val="Hyperlink"/>
            <w:rFonts w:eastAsiaTheme="minorEastAsia" w:cs="Arial"/>
            <w:bCs/>
            <w:szCs w:val="16"/>
          </w:rPr>
          <w:t>R2-2111371</w:t>
        </w:r>
      </w:hyperlink>
      <w:r w:rsidRPr="00E34641">
        <w:t>)</w:t>
      </w:r>
    </w:p>
    <w:p w14:paraId="722C8062" w14:textId="0810AD5E" w:rsidR="00E34641" w:rsidRDefault="00E34641" w:rsidP="00E34641">
      <w:pPr>
        <w:pStyle w:val="BodyText"/>
        <w:numPr>
          <w:ilvl w:val="1"/>
          <w:numId w:val="24"/>
        </w:numPr>
      </w:pPr>
      <w:r w:rsidRPr="00E34641">
        <w:t>UAC, TAC and cell ID are parameters that can be PLMN specific</w:t>
      </w:r>
      <w:r w:rsidR="00A5751E">
        <w:t>, so</w:t>
      </w:r>
      <w:r w:rsidR="00F03638">
        <w:t xml:space="preserve"> it needs to be sorted out</w:t>
      </w:r>
      <w:r w:rsidR="00A5751E">
        <w:t xml:space="preserve"> </w:t>
      </w:r>
      <w:r w:rsidR="00A5751E">
        <w:rPr>
          <w:rFonts w:eastAsiaTheme="minorEastAsia"/>
        </w:rPr>
        <w:t>which ones are going to be used when relay UE establish a connection</w:t>
      </w:r>
    </w:p>
    <w:p w14:paraId="74B0C15C" w14:textId="77777777" w:rsidR="00E34641" w:rsidRDefault="00E34641" w:rsidP="00E34641">
      <w:pPr>
        <w:pStyle w:val="BodyText"/>
        <w:numPr>
          <w:ilvl w:val="1"/>
          <w:numId w:val="24"/>
        </w:numPr>
      </w:pPr>
      <w:r w:rsidRPr="00E34641">
        <w:t xml:space="preserve">Security procedures (also affecting SA2/SA3) towards different CNs are not clear. </w:t>
      </w:r>
    </w:p>
    <w:p w14:paraId="08836A87" w14:textId="77777777" w:rsidR="00E34641" w:rsidRDefault="00E34641" w:rsidP="00E34641">
      <w:pPr>
        <w:pStyle w:val="BodyText"/>
        <w:numPr>
          <w:ilvl w:val="1"/>
          <w:numId w:val="24"/>
        </w:numPr>
      </w:pPr>
      <w:r w:rsidRPr="00E34641">
        <w:t xml:space="preserve">How is the Relay UE expected to set up PDU session towards a PLMN that is different from its RPLMN? The Remote UE’s choice of PLMN can’t dictate the Relay UEs PLMN selection. </w:t>
      </w:r>
    </w:p>
    <w:p w14:paraId="2909CD09" w14:textId="349A6129" w:rsidR="00E34641" w:rsidRDefault="00E34641" w:rsidP="00E34641">
      <w:pPr>
        <w:pStyle w:val="BodyText"/>
        <w:numPr>
          <w:ilvl w:val="1"/>
          <w:numId w:val="24"/>
        </w:numPr>
      </w:pPr>
      <w:r w:rsidRPr="00E34641">
        <w:t>There are no guarantees that the Remote UE’s selected PLMN would even be allowed for the Relay UE</w:t>
      </w:r>
    </w:p>
    <w:p w14:paraId="218E2A81" w14:textId="7518A1C5" w:rsidR="00E34641" w:rsidRDefault="00E34641" w:rsidP="00E34641">
      <w:pPr>
        <w:pStyle w:val="BodyText"/>
      </w:pPr>
      <w:r>
        <w:t>Given that there is not much time to close the WI and that the list of remaining open issues and details to be sorted out is quite substantial, it would be wise to postpone this topic to later releases.</w:t>
      </w:r>
    </w:p>
    <w:p w14:paraId="4D02FF3F" w14:textId="093516F3" w:rsidR="00E34641" w:rsidRDefault="00E34641" w:rsidP="00E34641">
      <w:pPr>
        <w:pStyle w:val="Proposal"/>
      </w:pPr>
      <w:bookmarkStart w:id="4" w:name="_Toc89095407"/>
      <w:r>
        <w:t>RAN to agree to postpone the support of RAN sharing for SL relay in later releases.</w:t>
      </w:r>
      <w:bookmarkEnd w:id="4"/>
    </w:p>
    <w:p w14:paraId="54BE16A8" w14:textId="1B781595" w:rsidR="00E34641" w:rsidRDefault="00E34641" w:rsidP="00E34641">
      <w:pPr>
        <w:pStyle w:val="Proposal"/>
        <w:numPr>
          <w:ilvl w:val="0"/>
          <w:numId w:val="0"/>
        </w:numPr>
        <w:ind w:left="1701" w:hanging="1701"/>
      </w:pPr>
    </w:p>
    <w:p w14:paraId="68E0B3D7" w14:textId="2DAF0A93" w:rsidR="00E34641" w:rsidRDefault="00E34641" w:rsidP="00E34641">
      <w:pPr>
        <w:pStyle w:val="Heading3"/>
      </w:pPr>
      <w:r>
        <w:t>2.3</w:t>
      </w:r>
      <w:r>
        <w:tab/>
        <w:t xml:space="preserve">Support of SL DRX for </w:t>
      </w:r>
      <w:proofErr w:type="spellStart"/>
      <w:r>
        <w:t>ProSe</w:t>
      </w:r>
      <w:proofErr w:type="spellEnd"/>
    </w:p>
    <w:p w14:paraId="2F357DD9" w14:textId="782E1A04" w:rsidR="00E34641" w:rsidRDefault="00E34641" w:rsidP="00E34641">
      <w:pPr>
        <w:pStyle w:val="BodyText"/>
      </w:pPr>
      <w:r>
        <w:t xml:space="preserve">In RAN#93e </w:t>
      </w:r>
      <w:r w:rsidRPr="00E34641">
        <w:t>there was a discussion on whether SL</w:t>
      </w:r>
      <w:r w:rsidR="00450B11">
        <w:t xml:space="preserve"> </w:t>
      </w:r>
      <w:r w:rsidRPr="00E34641">
        <w:t xml:space="preserve">DRX should also be supported for </w:t>
      </w:r>
      <w:proofErr w:type="spellStart"/>
      <w:r w:rsidRPr="00E34641">
        <w:t>ProSe</w:t>
      </w:r>
      <w:proofErr w:type="spellEnd"/>
      <w:r w:rsidRPr="00E34641">
        <w:t xml:space="preserve"> communication and </w:t>
      </w:r>
      <w:proofErr w:type="spellStart"/>
      <w:r w:rsidRPr="00E34641">
        <w:t>ProSe</w:t>
      </w:r>
      <w:proofErr w:type="spellEnd"/>
      <w:r w:rsidRPr="00E34641">
        <w:t xml:space="preserve"> discovery</w:t>
      </w:r>
      <w:r>
        <w:t xml:space="preserve"> (i.e., basically Rel-17 SL Relay)</w:t>
      </w:r>
      <w:r w:rsidRPr="00E34641">
        <w:t>.</w:t>
      </w:r>
      <w:r>
        <w:t xml:space="preserve"> </w:t>
      </w:r>
      <w:r w:rsidRPr="00E34641">
        <w:t xml:space="preserve">There was no explicit conclusion or RAN guideline </w:t>
      </w:r>
      <w:r>
        <w:t xml:space="preserve">for this and </w:t>
      </w:r>
      <w:r w:rsidRPr="00E34641">
        <w:t>RAN2 further discusses this in RAN2#116</w:t>
      </w:r>
      <w:r>
        <w:t>e by reaching the following agreements.</w:t>
      </w:r>
    </w:p>
    <w:p w14:paraId="62731346" w14:textId="77777777" w:rsidR="00450B11" w:rsidRPr="00450B11" w:rsidRDefault="00450B11" w:rsidP="00450B11">
      <w:pPr>
        <w:pStyle w:val="BodyText"/>
        <w:pBdr>
          <w:top w:val="single" w:sz="4" w:space="1" w:color="auto"/>
          <w:left w:val="single" w:sz="4" w:space="4" w:color="auto"/>
          <w:bottom w:val="single" w:sz="4" w:space="1" w:color="auto"/>
          <w:right w:val="single" w:sz="4" w:space="4" w:color="auto"/>
        </w:pBdr>
        <w:rPr>
          <w:i/>
          <w:iCs/>
        </w:rPr>
      </w:pPr>
      <w:r w:rsidRPr="00450B11">
        <w:rPr>
          <w:i/>
          <w:iCs/>
        </w:rPr>
        <w:t xml:space="preserve">Agreements on SL-DRX for </w:t>
      </w:r>
      <w:proofErr w:type="spellStart"/>
      <w:r w:rsidRPr="00450B11">
        <w:rPr>
          <w:i/>
          <w:iCs/>
        </w:rPr>
        <w:t>ProSe</w:t>
      </w:r>
      <w:proofErr w:type="spellEnd"/>
      <w:r w:rsidRPr="00450B11">
        <w:rPr>
          <w:i/>
          <w:iCs/>
        </w:rPr>
        <w:t xml:space="preserve">: </w:t>
      </w:r>
    </w:p>
    <w:p w14:paraId="73B7575E" w14:textId="715A769B" w:rsidR="00450B11" w:rsidRPr="00450B11" w:rsidRDefault="00450B11" w:rsidP="00450B11">
      <w:pPr>
        <w:pStyle w:val="BodyText"/>
        <w:pBdr>
          <w:top w:val="single" w:sz="4" w:space="1" w:color="auto"/>
          <w:left w:val="single" w:sz="4" w:space="4" w:color="auto"/>
          <w:bottom w:val="single" w:sz="4" w:space="1" w:color="auto"/>
          <w:right w:val="single" w:sz="4" w:space="4" w:color="auto"/>
        </w:pBdr>
        <w:rPr>
          <w:i/>
          <w:iCs/>
        </w:rPr>
      </w:pPr>
      <w:r w:rsidRPr="00450B11">
        <w:rPr>
          <w:i/>
          <w:iCs/>
        </w:rPr>
        <w:t xml:space="preserve">1: RAN2 confirms Rel-17 SL-DRX design can be reused for relay-related </w:t>
      </w:r>
      <w:proofErr w:type="spellStart"/>
      <w:r w:rsidRPr="00450B11">
        <w:rPr>
          <w:i/>
          <w:iCs/>
        </w:rPr>
        <w:t>ProSe</w:t>
      </w:r>
      <w:proofErr w:type="spellEnd"/>
      <w:r w:rsidRPr="00450B11">
        <w:rPr>
          <w:i/>
          <w:iCs/>
        </w:rPr>
        <w:t xml:space="preserve"> communication in layer-3 relay without additional specific solution discussion/specification effort.</w:t>
      </w:r>
    </w:p>
    <w:p w14:paraId="5B9FA36A" w14:textId="2BB6A394" w:rsidR="00450B11" w:rsidRPr="00450B11" w:rsidRDefault="00450B11" w:rsidP="00450B11">
      <w:pPr>
        <w:pStyle w:val="BodyText"/>
        <w:pBdr>
          <w:top w:val="single" w:sz="4" w:space="1" w:color="auto"/>
          <w:left w:val="single" w:sz="4" w:space="4" w:color="auto"/>
          <w:bottom w:val="single" w:sz="4" w:space="1" w:color="auto"/>
          <w:right w:val="single" w:sz="4" w:space="4" w:color="auto"/>
        </w:pBdr>
        <w:rPr>
          <w:i/>
          <w:iCs/>
        </w:rPr>
      </w:pPr>
      <w:r w:rsidRPr="00450B11">
        <w:rPr>
          <w:i/>
          <w:iCs/>
        </w:rPr>
        <w:lastRenderedPageBreak/>
        <w:t xml:space="preserve">2: Keep RAN2 previous agreement (prioritize the non-relay case without consideration of relay specific optimization in Rel-17) </w:t>
      </w:r>
      <w:r w:rsidRPr="00450B11">
        <w:rPr>
          <w:i/>
          <w:iCs/>
          <w:highlight w:val="yellow"/>
        </w:rPr>
        <w:t xml:space="preserve">but we’re not going to make any conclusion if L2 relay-related </w:t>
      </w:r>
      <w:proofErr w:type="spellStart"/>
      <w:r w:rsidRPr="00450B11">
        <w:rPr>
          <w:i/>
          <w:iCs/>
          <w:highlight w:val="yellow"/>
        </w:rPr>
        <w:t>ProSe</w:t>
      </w:r>
      <w:proofErr w:type="spellEnd"/>
      <w:r w:rsidRPr="00450B11">
        <w:rPr>
          <w:i/>
          <w:iCs/>
          <w:highlight w:val="yellow"/>
        </w:rPr>
        <w:t xml:space="preserve"> communication is supported or not in Rel-17 now</w:t>
      </w:r>
      <w:r w:rsidRPr="00450B11">
        <w:rPr>
          <w:i/>
          <w:iCs/>
        </w:rPr>
        <w:t>.</w:t>
      </w:r>
    </w:p>
    <w:p w14:paraId="164CF380" w14:textId="587C4D0E" w:rsidR="00450B11" w:rsidRDefault="00450B11" w:rsidP="00450B11">
      <w:pPr>
        <w:pStyle w:val="BodyText"/>
        <w:pBdr>
          <w:top w:val="single" w:sz="4" w:space="1" w:color="auto"/>
          <w:left w:val="single" w:sz="4" w:space="4" w:color="auto"/>
          <w:bottom w:val="single" w:sz="4" w:space="1" w:color="auto"/>
          <w:right w:val="single" w:sz="4" w:space="4" w:color="auto"/>
        </w:pBdr>
        <w:rPr>
          <w:i/>
          <w:iCs/>
        </w:rPr>
      </w:pPr>
      <w:r w:rsidRPr="00450B11">
        <w:rPr>
          <w:i/>
          <w:iCs/>
        </w:rPr>
        <w:t xml:space="preserve">3: RAN2 confirms Rel-17 SL-DRX design can be reused for L3 relay-related </w:t>
      </w:r>
      <w:proofErr w:type="spellStart"/>
      <w:r w:rsidRPr="00450B11">
        <w:rPr>
          <w:i/>
          <w:iCs/>
        </w:rPr>
        <w:t>ProSe</w:t>
      </w:r>
      <w:proofErr w:type="spellEnd"/>
      <w:r w:rsidRPr="00450B11">
        <w:rPr>
          <w:i/>
          <w:iCs/>
        </w:rPr>
        <w:t xml:space="preserve"> discovery without additional specific solution discussion/specification effort (by applying SL default-DRX configuration). </w:t>
      </w:r>
      <w:r w:rsidRPr="00450B11">
        <w:rPr>
          <w:i/>
          <w:iCs/>
          <w:highlight w:val="yellow"/>
        </w:rPr>
        <w:t xml:space="preserve">No conclusion if L2 relay-related </w:t>
      </w:r>
      <w:proofErr w:type="spellStart"/>
      <w:r w:rsidRPr="00450B11">
        <w:rPr>
          <w:i/>
          <w:iCs/>
          <w:highlight w:val="yellow"/>
        </w:rPr>
        <w:t>ProSe</w:t>
      </w:r>
      <w:proofErr w:type="spellEnd"/>
      <w:r w:rsidRPr="00450B11">
        <w:rPr>
          <w:i/>
          <w:iCs/>
          <w:highlight w:val="yellow"/>
        </w:rPr>
        <w:t xml:space="preserve"> discovery is supported or not in Rel-17 now</w:t>
      </w:r>
      <w:r w:rsidRPr="00450B11">
        <w:rPr>
          <w:i/>
          <w:iCs/>
        </w:rPr>
        <w:t xml:space="preserve">. </w:t>
      </w:r>
      <w:r w:rsidRPr="00450B11">
        <w:rPr>
          <w:i/>
          <w:iCs/>
          <w:highlight w:val="green"/>
        </w:rPr>
        <w:t>RAN2 does not specify any restriction now</w:t>
      </w:r>
      <w:r w:rsidRPr="00450B11">
        <w:rPr>
          <w:i/>
          <w:iCs/>
        </w:rPr>
        <w:t>.</w:t>
      </w:r>
    </w:p>
    <w:p w14:paraId="33A50673" w14:textId="77777777" w:rsidR="002F3112" w:rsidRPr="00450B11" w:rsidRDefault="002F3112" w:rsidP="00450B11">
      <w:pPr>
        <w:pStyle w:val="BodyText"/>
        <w:pBdr>
          <w:top w:val="single" w:sz="4" w:space="1" w:color="auto"/>
          <w:left w:val="single" w:sz="4" w:space="4" w:color="auto"/>
          <w:bottom w:val="single" w:sz="4" w:space="1" w:color="auto"/>
          <w:right w:val="single" w:sz="4" w:space="4" w:color="auto"/>
        </w:pBdr>
        <w:rPr>
          <w:i/>
          <w:iCs/>
        </w:rPr>
      </w:pPr>
    </w:p>
    <w:p w14:paraId="394AC8BB" w14:textId="5CF546FD" w:rsidR="00E34641" w:rsidRDefault="00450B11" w:rsidP="00E34641">
      <w:pPr>
        <w:pStyle w:val="BodyText"/>
      </w:pPr>
      <w:r>
        <w:t>According to the discussion that took place in RAN2, majority of companies believe that SL DRX can be applied without any specification impact in case of L3 SL relay but for L2 SL relay</w:t>
      </w:r>
      <w:r w:rsidR="002F3112">
        <w:t>, the understanding is that some specification effort needs to be done in order to fully support it.</w:t>
      </w:r>
    </w:p>
    <w:p w14:paraId="48B13040" w14:textId="4B5092C2" w:rsidR="002F3112" w:rsidRDefault="002F3112" w:rsidP="00E34641">
      <w:pPr>
        <w:pStyle w:val="BodyText"/>
      </w:pPr>
      <w:r>
        <w:t>It is worth noticing that SL DRX and SL relay are two feature</w:t>
      </w:r>
      <w:r w:rsidR="00911540">
        <w:t>s</w:t>
      </w:r>
      <w:r>
        <w:t xml:space="preserve"> that currently standardized in the same release and while it may not be excluded that they make work </w:t>
      </w:r>
      <w:r w:rsidR="00911540">
        <w:t>together</w:t>
      </w:r>
      <w:r>
        <w:t xml:space="preserve">, it not a usual way of working in a RAN WG that </w:t>
      </w:r>
      <w:r w:rsidR="00911540">
        <w:t xml:space="preserve">all possible </w:t>
      </w:r>
      <w:r>
        <w:t xml:space="preserve">cross-WI integration is considered when working on a WI. Usually, the work on each WI is done independently and only after the end of the release (or in later releases) the compatibility with a release with another one if checked. Given that the support of SL DRX is not mentioned in the Rel-17 SL Relay WID and that no work is expected on SL DRX or SL Relay to make them compatible to each other, RAN should </w:t>
      </w:r>
      <w:proofErr w:type="spellStart"/>
      <w:r>
        <w:t>downscoping</w:t>
      </w:r>
      <w:proofErr w:type="spellEnd"/>
      <w:r>
        <w:t xml:space="preserve"> thi</w:t>
      </w:r>
      <w:r w:rsidR="00235551">
        <w:t>s in Rel-17. Whether and how these two features can work together should be addressed in later release, given also the two meetings remaining before the Rel-17 functional freeze.</w:t>
      </w:r>
    </w:p>
    <w:p w14:paraId="0B389747" w14:textId="563A8081" w:rsidR="00235551" w:rsidRDefault="00690B73" w:rsidP="00235551">
      <w:pPr>
        <w:pStyle w:val="Proposal"/>
      </w:pPr>
      <w:bookmarkStart w:id="5" w:name="_Toc89095408"/>
      <w:r w:rsidRPr="00690B73">
        <w:t xml:space="preserve">RAN to confirm that no specification effort is done to enable SL-DRX for L2 </w:t>
      </w:r>
      <w:r>
        <w:t xml:space="preserve">Sidelink Relay </w:t>
      </w:r>
      <w:r w:rsidRPr="00690B73">
        <w:t>in Rel-17</w:t>
      </w:r>
      <w:r w:rsidR="00235551">
        <w:t>.</w:t>
      </w:r>
      <w:bookmarkEnd w:id="5"/>
    </w:p>
    <w:p w14:paraId="354C2754" w14:textId="77777777" w:rsidR="00450B11" w:rsidRPr="00E34641" w:rsidRDefault="00450B11" w:rsidP="00E34641">
      <w:pPr>
        <w:pStyle w:val="BodyText"/>
      </w:pPr>
    </w:p>
    <w:p w14:paraId="44A90F6A" w14:textId="34BAF98F" w:rsidR="00C01F33" w:rsidRPr="00CE0424" w:rsidRDefault="00F17344" w:rsidP="00CE0424">
      <w:pPr>
        <w:pStyle w:val="Heading1"/>
      </w:pPr>
      <w:r>
        <w:t>3</w:t>
      </w:r>
      <w:r>
        <w:tab/>
      </w:r>
      <w:r w:rsidR="00C01F33" w:rsidRPr="00CE0424">
        <w:t>Conclusion</w:t>
      </w:r>
    </w:p>
    <w:p w14:paraId="24C134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EAB42C" w14:textId="4A84E3CC" w:rsidR="00F6077A"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89095409" w:history="1">
        <w:r w:rsidR="00F6077A" w:rsidRPr="00507E32">
          <w:rPr>
            <w:rStyle w:val="Hyperlink"/>
            <w:noProof/>
          </w:rPr>
          <w:t>Observation 1</w:t>
        </w:r>
        <w:r w:rsidR="00F6077A">
          <w:rPr>
            <w:rFonts w:asciiTheme="minorHAnsi" w:eastAsiaTheme="minorEastAsia" w:hAnsiTheme="minorHAnsi" w:cstheme="minorBidi"/>
            <w:b w:val="0"/>
            <w:noProof/>
            <w:sz w:val="22"/>
            <w:szCs w:val="22"/>
          </w:rPr>
          <w:tab/>
        </w:r>
        <w:r w:rsidR="00F6077A" w:rsidRPr="00507E32">
          <w:rPr>
            <w:rStyle w:val="Hyperlink"/>
            <w:noProof/>
          </w:rPr>
          <w:t>The support of RAN sharing was not in the scope of either the Rel-17 SL Relay SI or the Rel-17 SL Relay WI.</w:t>
        </w:r>
      </w:hyperlink>
    </w:p>
    <w:p w14:paraId="14299E89" w14:textId="550EFCB6" w:rsidR="006E1C82" w:rsidRDefault="006F6582" w:rsidP="008E065E">
      <w:pPr>
        <w:pStyle w:val="BodyText"/>
        <w:rPr>
          <w:b/>
          <w:bCs/>
        </w:rPr>
      </w:pPr>
      <w:r>
        <w:rPr>
          <w:b/>
          <w:bCs/>
        </w:rPr>
        <w:fldChar w:fldCharType="end"/>
      </w:r>
    </w:p>
    <w:p w14:paraId="1BB3A93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1C131E" w14:textId="190B6609" w:rsidR="00F6077A"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9095405" w:history="1">
        <w:r w:rsidR="00F6077A" w:rsidRPr="005546B5">
          <w:rPr>
            <w:rStyle w:val="Hyperlink"/>
            <w:noProof/>
          </w:rPr>
          <w:t>Proposal 1</w:t>
        </w:r>
        <w:r w:rsidR="00F6077A">
          <w:rPr>
            <w:rFonts w:asciiTheme="minorHAnsi" w:eastAsiaTheme="minorEastAsia" w:hAnsiTheme="minorHAnsi" w:cstheme="minorBidi"/>
            <w:b w:val="0"/>
            <w:noProof/>
            <w:sz w:val="22"/>
            <w:szCs w:val="22"/>
          </w:rPr>
          <w:tab/>
        </w:r>
        <w:r w:rsidR="00F6077A" w:rsidRPr="005546B5">
          <w:rPr>
            <w:rStyle w:val="Hyperlink"/>
            <w:noProof/>
          </w:rPr>
          <w:t>Given the list of open issues and details to be addressed, RAN to discuss down scoping for the Rel-17 SL Relay WI.</w:t>
        </w:r>
      </w:hyperlink>
    </w:p>
    <w:p w14:paraId="561648BB" w14:textId="342D18F9" w:rsidR="00F6077A" w:rsidRDefault="00F6077A">
      <w:pPr>
        <w:pStyle w:val="TableofFigures"/>
        <w:tabs>
          <w:tab w:val="right" w:leader="dot" w:pos="9629"/>
        </w:tabs>
        <w:rPr>
          <w:rFonts w:asciiTheme="minorHAnsi" w:eastAsiaTheme="minorEastAsia" w:hAnsiTheme="minorHAnsi" w:cstheme="minorBidi"/>
          <w:b w:val="0"/>
          <w:noProof/>
          <w:sz w:val="22"/>
          <w:szCs w:val="22"/>
        </w:rPr>
      </w:pPr>
      <w:hyperlink w:anchor="_Toc89095406" w:history="1">
        <w:r w:rsidRPr="005546B5">
          <w:rPr>
            <w:rStyle w:val="Hyperlink"/>
            <w:noProof/>
          </w:rPr>
          <w:t>Proposal 2</w:t>
        </w:r>
        <w:r>
          <w:rPr>
            <w:rFonts w:asciiTheme="minorHAnsi" w:eastAsiaTheme="minorEastAsia" w:hAnsiTheme="minorHAnsi" w:cstheme="minorBidi"/>
            <w:b w:val="0"/>
            <w:noProof/>
            <w:sz w:val="22"/>
            <w:szCs w:val="22"/>
          </w:rPr>
          <w:tab/>
        </w:r>
        <w:r w:rsidRPr="005546B5">
          <w:rPr>
            <w:rStyle w:val="Hyperlink"/>
            <w:noProof/>
          </w:rPr>
          <w:t>RAN to clarify in the Rel-17 SL Relay WID that only SIBs related to SL relay operation should be considered in the control plane objective.</w:t>
        </w:r>
      </w:hyperlink>
    </w:p>
    <w:p w14:paraId="2FF10ED1" w14:textId="166E6926" w:rsidR="00F6077A" w:rsidRDefault="00F6077A">
      <w:pPr>
        <w:pStyle w:val="TableofFigures"/>
        <w:tabs>
          <w:tab w:val="right" w:leader="dot" w:pos="9629"/>
        </w:tabs>
        <w:rPr>
          <w:rFonts w:asciiTheme="minorHAnsi" w:eastAsiaTheme="minorEastAsia" w:hAnsiTheme="minorHAnsi" w:cstheme="minorBidi"/>
          <w:b w:val="0"/>
          <w:noProof/>
          <w:sz w:val="22"/>
          <w:szCs w:val="22"/>
        </w:rPr>
      </w:pPr>
      <w:hyperlink w:anchor="_Toc89095407" w:history="1">
        <w:r w:rsidRPr="005546B5">
          <w:rPr>
            <w:rStyle w:val="Hyperlink"/>
            <w:noProof/>
          </w:rPr>
          <w:t>Proposal 3</w:t>
        </w:r>
        <w:r>
          <w:rPr>
            <w:rFonts w:asciiTheme="minorHAnsi" w:eastAsiaTheme="minorEastAsia" w:hAnsiTheme="minorHAnsi" w:cstheme="minorBidi"/>
            <w:b w:val="0"/>
            <w:noProof/>
            <w:sz w:val="22"/>
            <w:szCs w:val="22"/>
          </w:rPr>
          <w:tab/>
        </w:r>
        <w:r w:rsidRPr="005546B5">
          <w:rPr>
            <w:rStyle w:val="Hyperlink"/>
            <w:noProof/>
          </w:rPr>
          <w:t>RAN to agree to postpone the support of RAN sharing for SL relay in later releases.</w:t>
        </w:r>
      </w:hyperlink>
    </w:p>
    <w:p w14:paraId="4DD23C72" w14:textId="25B15E88" w:rsidR="00F6077A" w:rsidRDefault="00F6077A">
      <w:pPr>
        <w:pStyle w:val="TableofFigures"/>
        <w:tabs>
          <w:tab w:val="right" w:leader="dot" w:pos="9629"/>
        </w:tabs>
        <w:rPr>
          <w:rFonts w:asciiTheme="minorHAnsi" w:eastAsiaTheme="minorEastAsia" w:hAnsiTheme="minorHAnsi" w:cstheme="minorBidi"/>
          <w:b w:val="0"/>
          <w:noProof/>
          <w:sz w:val="22"/>
          <w:szCs w:val="22"/>
        </w:rPr>
      </w:pPr>
      <w:hyperlink w:anchor="_Toc89095408" w:history="1">
        <w:r w:rsidRPr="005546B5">
          <w:rPr>
            <w:rStyle w:val="Hyperlink"/>
            <w:noProof/>
          </w:rPr>
          <w:t>Proposal 4</w:t>
        </w:r>
        <w:r>
          <w:rPr>
            <w:rFonts w:asciiTheme="minorHAnsi" w:eastAsiaTheme="minorEastAsia" w:hAnsiTheme="minorHAnsi" w:cstheme="minorBidi"/>
            <w:b w:val="0"/>
            <w:noProof/>
            <w:sz w:val="22"/>
            <w:szCs w:val="22"/>
          </w:rPr>
          <w:tab/>
        </w:r>
        <w:r w:rsidRPr="005546B5">
          <w:rPr>
            <w:rStyle w:val="Hyperlink"/>
            <w:noProof/>
          </w:rPr>
          <w:t>RAN to confirm that no specification effort is done to enable SL-DRX for L2 Sidelink Relay in Rel-17.</w:t>
        </w:r>
      </w:hyperlink>
    </w:p>
    <w:p w14:paraId="661282BF" w14:textId="1565B70F" w:rsidR="006E1C82" w:rsidRPr="00CE0424" w:rsidRDefault="006E1C82" w:rsidP="006E1C82">
      <w:pPr>
        <w:pStyle w:val="BodyText"/>
        <w:rPr>
          <w:b/>
          <w:bCs/>
        </w:rPr>
      </w:pPr>
      <w:r>
        <w:rPr>
          <w:b/>
          <w:bCs/>
          <w:lang w:val="en-US"/>
        </w:rPr>
        <w:fldChar w:fldCharType="end"/>
      </w:r>
      <w:r w:rsidRPr="00CE0424">
        <w:rPr>
          <w:b/>
          <w:bCs/>
        </w:rPr>
        <w:t xml:space="preserve"> </w:t>
      </w:r>
    </w:p>
    <w:p w14:paraId="6F2ECF52" w14:textId="77777777" w:rsidR="008E065E" w:rsidRPr="00CE0424" w:rsidRDefault="008E065E" w:rsidP="008E065E">
      <w:pPr>
        <w:rPr>
          <w:b/>
          <w:bCs/>
        </w:rPr>
      </w:pPr>
    </w:p>
    <w:p w14:paraId="10FCE485"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9FDE8" w14:textId="77777777" w:rsidR="00752247" w:rsidRDefault="00752247">
      <w:r>
        <w:separator/>
      </w:r>
    </w:p>
  </w:endnote>
  <w:endnote w:type="continuationSeparator" w:id="0">
    <w:p w14:paraId="72CE947F" w14:textId="77777777" w:rsidR="00752247" w:rsidRDefault="00752247">
      <w:r>
        <w:continuationSeparator/>
      </w:r>
    </w:p>
  </w:endnote>
  <w:endnote w:type="continuationNotice" w:id="1">
    <w:p w14:paraId="4A549813" w14:textId="77777777" w:rsidR="00C855F9" w:rsidRDefault="00C85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ExtraLight">
    <w:panose1 w:val="000003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EF20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AEC77" w14:textId="77777777" w:rsidR="00752247" w:rsidRDefault="00752247">
      <w:r>
        <w:separator/>
      </w:r>
    </w:p>
  </w:footnote>
  <w:footnote w:type="continuationSeparator" w:id="0">
    <w:p w14:paraId="772CF879" w14:textId="77777777" w:rsidR="00752247" w:rsidRDefault="00752247">
      <w:r>
        <w:continuationSeparator/>
      </w:r>
    </w:p>
  </w:footnote>
  <w:footnote w:type="continuationNotice" w:id="1">
    <w:p w14:paraId="623F63C8" w14:textId="77777777" w:rsidR="00C855F9" w:rsidRDefault="00C85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79F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2051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2C0E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EC48E0"/>
    <w:multiLevelType w:val="hybridMultilevel"/>
    <w:tmpl w:val="E92CBD6E"/>
    <w:lvl w:ilvl="0" w:tplc="C9FC621A">
      <w:start w:val="1"/>
      <w:numFmt w:val="bullet"/>
      <w:lvlText w:val="●"/>
      <w:lvlJc w:val="left"/>
      <w:pPr>
        <w:tabs>
          <w:tab w:val="num" w:pos="720"/>
        </w:tabs>
        <w:ind w:left="720" w:hanging="360"/>
      </w:pPr>
      <w:rPr>
        <w:rFonts w:ascii="Ericsson Hilda ExtraLight" w:hAnsi="Ericsson Hilda ExtraLight" w:hint="default"/>
      </w:rPr>
    </w:lvl>
    <w:lvl w:ilvl="1" w:tplc="FDF6912C">
      <w:numFmt w:val="bullet"/>
      <w:lvlText w:val="–"/>
      <w:lvlJc w:val="left"/>
      <w:pPr>
        <w:tabs>
          <w:tab w:val="num" w:pos="1440"/>
        </w:tabs>
        <w:ind w:left="1440" w:hanging="360"/>
      </w:pPr>
      <w:rPr>
        <w:rFonts w:ascii="Ericsson Hilda" w:hAnsi="Ericsson Hilda" w:hint="default"/>
      </w:rPr>
    </w:lvl>
    <w:lvl w:ilvl="2" w:tplc="C91CB16C" w:tentative="1">
      <w:start w:val="1"/>
      <w:numFmt w:val="bullet"/>
      <w:lvlText w:val="●"/>
      <w:lvlJc w:val="left"/>
      <w:pPr>
        <w:tabs>
          <w:tab w:val="num" w:pos="2160"/>
        </w:tabs>
        <w:ind w:left="2160" w:hanging="360"/>
      </w:pPr>
      <w:rPr>
        <w:rFonts w:ascii="Ericsson Hilda ExtraLight" w:hAnsi="Ericsson Hilda ExtraLight" w:hint="default"/>
      </w:rPr>
    </w:lvl>
    <w:lvl w:ilvl="3" w:tplc="0402FA28" w:tentative="1">
      <w:start w:val="1"/>
      <w:numFmt w:val="bullet"/>
      <w:lvlText w:val="●"/>
      <w:lvlJc w:val="left"/>
      <w:pPr>
        <w:tabs>
          <w:tab w:val="num" w:pos="2880"/>
        </w:tabs>
        <w:ind w:left="2880" w:hanging="360"/>
      </w:pPr>
      <w:rPr>
        <w:rFonts w:ascii="Ericsson Hilda ExtraLight" w:hAnsi="Ericsson Hilda ExtraLight" w:hint="default"/>
      </w:rPr>
    </w:lvl>
    <w:lvl w:ilvl="4" w:tplc="6536520C" w:tentative="1">
      <w:start w:val="1"/>
      <w:numFmt w:val="bullet"/>
      <w:lvlText w:val="●"/>
      <w:lvlJc w:val="left"/>
      <w:pPr>
        <w:tabs>
          <w:tab w:val="num" w:pos="3600"/>
        </w:tabs>
        <w:ind w:left="3600" w:hanging="360"/>
      </w:pPr>
      <w:rPr>
        <w:rFonts w:ascii="Ericsson Hilda ExtraLight" w:hAnsi="Ericsson Hilda ExtraLight" w:hint="default"/>
      </w:rPr>
    </w:lvl>
    <w:lvl w:ilvl="5" w:tplc="13B8ECD6" w:tentative="1">
      <w:start w:val="1"/>
      <w:numFmt w:val="bullet"/>
      <w:lvlText w:val="●"/>
      <w:lvlJc w:val="left"/>
      <w:pPr>
        <w:tabs>
          <w:tab w:val="num" w:pos="4320"/>
        </w:tabs>
        <w:ind w:left="4320" w:hanging="360"/>
      </w:pPr>
      <w:rPr>
        <w:rFonts w:ascii="Ericsson Hilda ExtraLight" w:hAnsi="Ericsson Hilda ExtraLight" w:hint="default"/>
      </w:rPr>
    </w:lvl>
    <w:lvl w:ilvl="6" w:tplc="68B43F54" w:tentative="1">
      <w:start w:val="1"/>
      <w:numFmt w:val="bullet"/>
      <w:lvlText w:val="●"/>
      <w:lvlJc w:val="left"/>
      <w:pPr>
        <w:tabs>
          <w:tab w:val="num" w:pos="5040"/>
        </w:tabs>
        <w:ind w:left="5040" w:hanging="360"/>
      </w:pPr>
      <w:rPr>
        <w:rFonts w:ascii="Ericsson Hilda ExtraLight" w:hAnsi="Ericsson Hilda ExtraLight" w:hint="default"/>
      </w:rPr>
    </w:lvl>
    <w:lvl w:ilvl="7" w:tplc="FE14070E" w:tentative="1">
      <w:start w:val="1"/>
      <w:numFmt w:val="bullet"/>
      <w:lvlText w:val="●"/>
      <w:lvlJc w:val="left"/>
      <w:pPr>
        <w:tabs>
          <w:tab w:val="num" w:pos="5760"/>
        </w:tabs>
        <w:ind w:left="5760" w:hanging="360"/>
      </w:pPr>
      <w:rPr>
        <w:rFonts w:ascii="Ericsson Hilda ExtraLight" w:hAnsi="Ericsson Hilda ExtraLight" w:hint="default"/>
      </w:rPr>
    </w:lvl>
    <w:lvl w:ilvl="8" w:tplc="FAC03436" w:tentative="1">
      <w:start w:val="1"/>
      <w:numFmt w:val="bullet"/>
      <w:lvlText w:val="●"/>
      <w:lvlJc w:val="left"/>
      <w:pPr>
        <w:tabs>
          <w:tab w:val="num" w:pos="6480"/>
        </w:tabs>
        <w:ind w:left="6480" w:hanging="360"/>
      </w:pPr>
      <w:rPr>
        <w:rFonts w:ascii="Ericsson Hilda ExtraLight" w:hAnsi="Ericsson Hilda ExtraLight"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BCF"/>
    <w:rsid w:val="000006E1"/>
    <w:rsid w:val="00000D98"/>
    <w:rsid w:val="00002A37"/>
    <w:rsid w:val="0000564C"/>
    <w:rsid w:val="00006446"/>
    <w:rsid w:val="00006896"/>
    <w:rsid w:val="00007CDC"/>
    <w:rsid w:val="00011B28"/>
    <w:rsid w:val="00015D15"/>
    <w:rsid w:val="00017B79"/>
    <w:rsid w:val="0002564D"/>
    <w:rsid w:val="00025ECA"/>
    <w:rsid w:val="000325B8"/>
    <w:rsid w:val="00034C15"/>
    <w:rsid w:val="00036BA1"/>
    <w:rsid w:val="000422E2"/>
    <w:rsid w:val="00042F22"/>
    <w:rsid w:val="000444EF"/>
    <w:rsid w:val="0004785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AB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CF3"/>
    <w:rsid w:val="00181FF8"/>
    <w:rsid w:val="00183820"/>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551"/>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BCF"/>
    <w:rsid w:val="002805F5"/>
    <w:rsid w:val="00280751"/>
    <w:rsid w:val="0028280A"/>
    <w:rsid w:val="00286ACD"/>
    <w:rsid w:val="00287838"/>
    <w:rsid w:val="002907B5"/>
    <w:rsid w:val="00291627"/>
    <w:rsid w:val="00292EB7"/>
    <w:rsid w:val="00296227"/>
    <w:rsid w:val="00296F44"/>
    <w:rsid w:val="0029777D"/>
    <w:rsid w:val="002A055E"/>
    <w:rsid w:val="002A1D4E"/>
    <w:rsid w:val="002A2869"/>
    <w:rsid w:val="002B1D62"/>
    <w:rsid w:val="002B24D6"/>
    <w:rsid w:val="002C41E6"/>
    <w:rsid w:val="002D071A"/>
    <w:rsid w:val="002D15A4"/>
    <w:rsid w:val="002D34B2"/>
    <w:rsid w:val="002D3B5B"/>
    <w:rsid w:val="002D48B0"/>
    <w:rsid w:val="002D5B37"/>
    <w:rsid w:val="002D7637"/>
    <w:rsid w:val="002E17F2"/>
    <w:rsid w:val="002E7CAE"/>
    <w:rsid w:val="002F2771"/>
    <w:rsid w:val="002F3112"/>
    <w:rsid w:val="002F37A9"/>
    <w:rsid w:val="00301CE6"/>
    <w:rsid w:val="0030256B"/>
    <w:rsid w:val="0030501F"/>
    <w:rsid w:val="00307BA1"/>
    <w:rsid w:val="00311702"/>
    <w:rsid w:val="00311E82"/>
    <w:rsid w:val="00313FD6"/>
    <w:rsid w:val="003143BD"/>
    <w:rsid w:val="00315363"/>
    <w:rsid w:val="00317515"/>
    <w:rsid w:val="003203ED"/>
    <w:rsid w:val="00322C9F"/>
    <w:rsid w:val="00324D23"/>
    <w:rsid w:val="00331751"/>
    <w:rsid w:val="00334579"/>
    <w:rsid w:val="00335858"/>
    <w:rsid w:val="00336BDA"/>
    <w:rsid w:val="00342BD7"/>
    <w:rsid w:val="00346DB5"/>
    <w:rsid w:val="003477B1"/>
    <w:rsid w:val="00350C5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F23"/>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AC1"/>
    <w:rsid w:val="00447A61"/>
    <w:rsid w:val="00450B11"/>
    <w:rsid w:val="004517AA"/>
    <w:rsid w:val="00452CAC"/>
    <w:rsid w:val="00457565"/>
    <w:rsid w:val="00457B71"/>
    <w:rsid w:val="00460294"/>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98D"/>
    <w:rsid w:val="005F2CB1"/>
    <w:rsid w:val="005F3025"/>
    <w:rsid w:val="005F5706"/>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009"/>
    <w:rsid w:val="0067218F"/>
    <w:rsid w:val="006741F2"/>
    <w:rsid w:val="00674CC3"/>
    <w:rsid w:val="00675C72"/>
    <w:rsid w:val="006771F9"/>
    <w:rsid w:val="006776D7"/>
    <w:rsid w:val="00681003"/>
    <w:rsid w:val="006817C9"/>
    <w:rsid w:val="00683ECE"/>
    <w:rsid w:val="00690B7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8D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DB8"/>
    <w:rsid w:val="00707072"/>
    <w:rsid w:val="00707D61"/>
    <w:rsid w:val="00712287"/>
    <w:rsid w:val="00712772"/>
    <w:rsid w:val="007148D3"/>
    <w:rsid w:val="00715B9A"/>
    <w:rsid w:val="007257D0"/>
    <w:rsid w:val="00726B17"/>
    <w:rsid w:val="00726EA6"/>
    <w:rsid w:val="00727208"/>
    <w:rsid w:val="00727680"/>
    <w:rsid w:val="007348B1"/>
    <w:rsid w:val="007362A6"/>
    <w:rsid w:val="00736D7D"/>
    <w:rsid w:val="00740E58"/>
    <w:rsid w:val="007445A0"/>
    <w:rsid w:val="0074524B"/>
    <w:rsid w:val="00747D8B"/>
    <w:rsid w:val="00751228"/>
    <w:rsid w:val="00752247"/>
    <w:rsid w:val="007571E1"/>
    <w:rsid w:val="00757A16"/>
    <w:rsid w:val="007604B2"/>
    <w:rsid w:val="00765281"/>
    <w:rsid w:val="00766BAD"/>
    <w:rsid w:val="007729A2"/>
    <w:rsid w:val="007755F2"/>
    <w:rsid w:val="00776971"/>
    <w:rsid w:val="00780A80"/>
    <w:rsid w:val="0078177E"/>
    <w:rsid w:val="0078304C"/>
    <w:rsid w:val="00783673"/>
    <w:rsid w:val="00785490"/>
    <w:rsid w:val="007879C1"/>
    <w:rsid w:val="00791415"/>
    <w:rsid w:val="007925EA"/>
    <w:rsid w:val="00793CD8"/>
    <w:rsid w:val="00795C92"/>
    <w:rsid w:val="00796231"/>
    <w:rsid w:val="007962A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6EC3"/>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A81"/>
    <w:rsid w:val="008B0483"/>
    <w:rsid w:val="008B120C"/>
    <w:rsid w:val="008B51A0"/>
    <w:rsid w:val="008B592A"/>
    <w:rsid w:val="008B7B5C"/>
    <w:rsid w:val="008C0C99"/>
    <w:rsid w:val="008C2017"/>
    <w:rsid w:val="008C3F1B"/>
    <w:rsid w:val="008C4958"/>
    <w:rsid w:val="008C4BAA"/>
    <w:rsid w:val="008C6AE8"/>
    <w:rsid w:val="008C7573"/>
    <w:rsid w:val="008D00A5"/>
    <w:rsid w:val="008D34F1"/>
    <w:rsid w:val="008D39D8"/>
    <w:rsid w:val="008D6D1A"/>
    <w:rsid w:val="008E065E"/>
    <w:rsid w:val="008E0927"/>
    <w:rsid w:val="008E1909"/>
    <w:rsid w:val="008E6FEF"/>
    <w:rsid w:val="008F1EAB"/>
    <w:rsid w:val="008F33DC"/>
    <w:rsid w:val="008F477F"/>
    <w:rsid w:val="00902350"/>
    <w:rsid w:val="0090336B"/>
    <w:rsid w:val="009053AA"/>
    <w:rsid w:val="00906939"/>
    <w:rsid w:val="00910B7D"/>
    <w:rsid w:val="00911540"/>
    <w:rsid w:val="00911DFB"/>
    <w:rsid w:val="009139D9"/>
    <w:rsid w:val="00914AD8"/>
    <w:rsid w:val="00915E07"/>
    <w:rsid w:val="00916079"/>
    <w:rsid w:val="00917CE9"/>
    <w:rsid w:val="00920BF2"/>
    <w:rsid w:val="00922010"/>
    <w:rsid w:val="00931BD9"/>
    <w:rsid w:val="00934EBB"/>
    <w:rsid w:val="009368F3"/>
    <w:rsid w:val="00940BB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5E0"/>
    <w:rsid w:val="00983D28"/>
    <w:rsid w:val="00985253"/>
    <w:rsid w:val="009853B3"/>
    <w:rsid w:val="00990630"/>
    <w:rsid w:val="00991761"/>
    <w:rsid w:val="00994DCA"/>
    <w:rsid w:val="009960EC"/>
    <w:rsid w:val="009970DD"/>
    <w:rsid w:val="009A0FBA"/>
    <w:rsid w:val="009A123C"/>
    <w:rsid w:val="009A1601"/>
    <w:rsid w:val="009A3BB6"/>
    <w:rsid w:val="009A3C69"/>
    <w:rsid w:val="009A462D"/>
    <w:rsid w:val="009A5CBA"/>
    <w:rsid w:val="009B1F30"/>
    <w:rsid w:val="009B3AC2"/>
    <w:rsid w:val="009B4DF4"/>
    <w:rsid w:val="009B564E"/>
    <w:rsid w:val="009B7E87"/>
    <w:rsid w:val="009C0169"/>
    <w:rsid w:val="009C403E"/>
    <w:rsid w:val="009D2EDD"/>
    <w:rsid w:val="009D4FF0"/>
    <w:rsid w:val="009D703C"/>
    <w:rsid w:val="009D718F"/>
    <w:rsid w:val="009E068F"/>
    <w:rsid w:val="009E14E0"/>
    <w:rsid w:val="009E35DB"/>
    <w:rsid w:val="009E47A3"/>
    <w:rsid w:val="009F08F3"/>
    <w:rsid w:val="009F344F"/>
    <w:rsid w:val="00A031D8"/>
    <w:rsid w:val="00A048A8"/>
    <w:rsid w:val="00A04F49"/>
    <w:rsid w:val="00A11DC7"/>
    <w:rsid w:val="00A13E54"/>
    <w:rsid w:val="00A17F63"/>
    <w:rsid w:val="00A2193B"/>
    <w:rsid w:val="00A22D41"/>
    <w:rsid w:val="00A2351A"/>
    <w:rsid w:val="00A240A0"/>
    <w:rsid w:val="00A264A9"/>
    <w:rsid w:val="00A26DCF"/>
    <w:rsid w:val="00A27785"/>
    <w:rsid w:val="00A30187"/>
    <w:rsid w:val="00A3448A"/>
    <w:rsid w:val="00A36297"/>
    <w:rsid w:val="00A41E2B"/>
    <w:rsid w:val="00A45B74"/>
    <w:rsid w:val="00A52E1D"/>
    <w:rsid w:val="00A5751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FF9"/>
    <w:rsid w:val="00B006FE"/>
    <w:rsid w:val="00B007CB"/>
    <w:rsid w:val="00B02791"/>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2413"/>
    <w:rsid w:val="00B7344A"/>
    <w:rsid w:val="00B739F6"/>
    <w:rsid w:val="00B81A6C"/>
    <w:rsid w:val="00B85DE5"/>
    <w:rsid w:val="00B87741"/>
    <w:rsid w:val="00B90F73"/>
    <w:rsid w:val="00B93B59"/>
    <w:rsid w:val="00B9406A"/>
    <w:rsid w:val="00BA2280"/>
    <w:rsid w:val="00BA2478"/>
    <w:rsid w:val="00BA2A08"/>
    <w:rsid w:val="00BA56D2"/>
    <w:rsid w:val="00BA76E0"/>
    <w:rsid w:val="00BB2A25"/>
    <w:rsid w:val="00BB51E9"/>
    <w:rsid w:val="00BC0FDC"/>
    <w:rsid w:val="00BC3053"/>
    <w:rsid w:val="00BC4D2E"/>
    <w:rsid w:val="00BD48AC"/>
    <w:rsid w:val="00BD5F1A"/>
    <w:rsid w:val="00BE0553"/>
    <w:rsid w:val="00BE1234"/>
    <w:rsid w:val="00BE2FA6"/>
    <w:rsid w:val="00BE333F"/>
    <w:rsid w:val="00BE7406"/>
    <w:rsid w:val="00BE7603"/>
    <w:rsid w:val="00BF3279"/>
    <w:rsid w:val="00BF74C7"/>
    <w:rsid w:val="00C015F1"/>
    <w:rsid w:val="00C01F33"/>
    <w:rsid w:val="00C02448"/>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678F8"/>
    <w:rsid w:val="00C70697"/>
    <w:rsid w:val="00C72093"/>
    <w:rsid w:val="00C72EF4"/>
    <w:rsid w:val="00C744FE"/>
    <w:rsid w:val="00C75D2F"/>
    <w:rsid w:val="00C767BE"/>
    <w:rsid w:val="00C76E3C"/>
    <w:rsid w:val="00C81568"/>
    <w:rsid w:val="00C855F9"/>
    <w:rsid w:val="00C8697D"/>
    <w:rsid w:val="00C9027A"/>
    <w:rsid w:val="00C9068E"/>
    <w:rsid w:val="00C93814"/>
    <w:rsid w:val="00C93C4B"/>
    <w:rsid w:val="00C93D22"/>
    <w:rsid w:val="00C944AB"/>
    <w:rsid w:val="00C95B40"/>
    <w:rsid w:val="00CA1ED8"/>
    <w:rsid w:val="00CA5D4C"/>
    <w:rsid w:val="00CA6E3C"/>
    <w:rsid w:val="00CB0B77"/>
    <w:rsid w:val="00CB1F63"/>
    <w:rsid w:val="00CB7170"/>
    <w:rsid w:val="00CC040E"/>
    <w:rsid w:val="00CC111F"/>
    <w:rsid w:val="00CC2011"/>
    <w:rsid w:val="00CC3EA0"/>
    <w:rsid w:val="00CC7B45"/>
    <w:rsid w:val="00CD1188"/>
    <w:rsid w:val="00CD2ED1"/>
    <w:rsid w:val="00CD337B"/>
    <w:rsid w:val="00CD473A"/>
    <w:rsid w:val="00CE0424"/>
    <w:rsid w:val="00CE7561"/>
    <w:rsid w:val="00CF1354"/>
    <w:rsid w:val="00CF3B1F"/>
    <w:rsid w:val="00CF3BF6"/>
    <w:rsid w:val="00CF625B"/>
    <w:rsid w:val="00CF687E"/>
    <w:rsid w:val="00D0349B"/>
    <w:rsid w:val="00D054FE"/>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85D"/>
    <w:rsid w:val="00D62BC9"/>
    <w:rsid w:val="00D652B5"/>
    <w:rsid w:val="00D66155"/>
    <w:rsid w:val="00D6766B"/>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213"/>
    <w:rsid w:val="00E110E7"/>
    <w:rsid w:val="00E11B20"/>
    <w:rsid w:val="00E17FA2"/>
    <w:rsid w:val="00E22330"/>
    <w:rsid w:val="00E30B5A"/>
    <w:rsid w:val="00E3123D"/>
    <w:rsid w:val="00E31461"/>
    <w:rsid w:val="00E31D43"/>
    <w:rsid w:val="00E32608"/>
    <w:rsid w:val="00E34188"/>
    <w:rsid w:val="00E34641"/>
    <w:rsid w:val="00E34B6E"/>
    <w:rsid w:val="00E35559"/>
    <w:rsid w:val="00E3723A"/>
    <w:rsid w:val="00E37860"/>
    <w:rsid w:val="00E446F1"/>
    <w:rsid w:val="00E46886"/>
    <w:rsid w:val="00E47AEF"/>
    <w:rsid w:val="00E53B75"/>
    <w:rsid w:val="00E54E3B"/>
    <w:rsid w:val="00E57565"/>
    <w:rsid w:val="00E63838"/>
    <w:rsid w:val="00E64434"/>
    <w:rsid w:val="00E67C51"/>
    <w:rsid w:val="00E70C7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6AC"/>
    <w:rsid w:val="00ED1006"/>
    <w:rsid w:val="00EE753F"/>
    <w:rsid w:val="00EF18FE"/>
    <w:rsid w:val="00EF5787"/>
    <w:rsid w:val="00EF60D0"/>
    <w:rsid w:val="00F000CC"/>
    <w:rsid w:val="00F03638"/>
    <w:rsid w:val="00F0528D"/>
    <w:rsid w:val="00F06C67"/>
    <w:rsid w:val="00F06DFD"/>
    <w:rsid w:val="00F071D1"/>
    <w:rsid w:val="00F07533"/>
    <w:rsid w:val="00F10629"/>
    <w:rsid w:val="00F15FA5"/>
    <w:rsid w:val="00F17344"/>
    <w:rsid w:val="00F209B7"/>
    <w:rsid w:val="00F20F5C"/>
    <w:rsid w:val="00F2376F"/>
    <w:rsid w:val="00F243D8"/>
    <w:rsid w:val="00F30828"/>
    <w:rsid w:val="00F313D6"/>
    <w:rsid w:val="00F40F0C"/>
    <w:rsid w:val="00F442ED"/>
    <w:rsid w:val="00F4766C"/>
    <w:rsid w:val="00F5060E"/>
    <w:rsid w:val="00F507D1"/>
    <w:rsid w:val="00F519CE"/>
    <w:rsid w:val="00F51ADA"/>
    <w:rsid w:val="00F55C8F"/>
    <w:rsid w:val="00F60203"/>
    <w:rsid w:val="00F6077A"/>
    <w:rsid w:val="00F607C5"/>
    <w:rsid w:val="00F60DEA"/>
    <w:rsid w:val="00F6302A"/>
    <w:rsid w:val="00F63950"/>
    <w:rsid w:val="00F64C2B"/>
    <w:rsid w:val="00F651BE"/>
    <w:rsid w:val="00F65B1D"/>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A16"/>
    <w:rsid w:val="00FA2BB3"/>
    <w:rsid w:val="00FB4C80"/>
    <w:rsid w:val="00FB6A6A"/>
    <w:rsid w:val="00FC7429"/>
    <w:rsid w:val="00FD07F6"/>
    <w:rsid w:val="00FD1EC8"/>
    <w:rsid w:val="00FD47ED"/>
    <w:rsid w:val="00FD74DB"/>
    <w:rsid w:val="00FD7660"/>
    <w:rsid w:val="00FE0655"/>
    <w:rsid w:val="00FE1B13"/>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5B357"/>
  <w15:chartTrackingRefBased/>
  <w15:docId w15:val="{62F74BF8-19B6-8B46-A084-C43C7C258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64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GridTable4-Accent1">
    <w:name w:val="Grid Table 4 Accent 1"/>
    <w:basedOn w:val="TableNormal"/>
    <w:uiPriority w:val="49"/>
    <w:rsid w:val="00B7344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C855F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5809">
      <w:bodyDiv w:val="1"/>
      <w:marLeft w:val="0"/>
      <w:marRight w:val="0"/>
      <w:marTop w:val="0"/>
      <w:marBottom w:val="0"/>
      <w:divBdr>
        <w:top w:val="none" w:sz="0" w:space="0" w:color="auto"/>
        <w:left w:val="none" w:sz="0" w:space="0" w:color="auto"/>
        <w:bottom w:val="none" w:sz="0" w:space="0" w:color="auto"/>
        <w:right w:val="none" w:sz="0" w:space="0" w:color="auto"/>
      </w:divBdr>
    </w:div>
    <w:div w:id="307638339">
      <w:bodyDiv w:val="1"/>
      <w:marLeft w:val="0"/>
      <w:marRight w:val="0"/>
      <w:marTop w:val="0"/>
      <w:marBottom w:val="0"/>
      <w:divBdr>
        <w:top w:val="none" w:sz="0" w:space="0" w:color="auto"/>
        <w:left w:val="none" w:sz="0" w:space="0" w:color="auto"/>
        <w:bottom w:val="none" w:sz="0" w:space="0" w:color="auto"/>
        <w:right w:val="none" w:sz="0" w:space="0" w:color="auto"/>
      </w:divBdr>
      <w:divsChild>
        <w:div w:id="1609897191">
          <w:marLeft w:val="562"/>
          <w:marRight w:val="0"/>
          <w:marTop w:val="0"/>
          <w:marBottom w:val="180"/>
          <w:divBdr>
            <w:top w:val="none" w:sz="0" w:space="0" w:color="auto"/>
            <w:left w:val="none" w:sz="0" w:space="0" w:color="auto"/>
            <w:bottom w:val="none" w:sz="0" w:space="0" w:color="auto"/>
            <w:right w:val="none" w:sz="0" w:space="0" w:color="auto"/>
          </w:divBdr>
        </w:div>
        <w:div w:id="796753905">
          <w:marLeft w:val="864"/>
          <w:marRight w:val="0"/>
          <w:marTop w:val="0"/>
          <w:marBottom w:val="180"/>
          <w:divBdr>
            <w:top w:val="none" w:sz="0" w:space="0" w:color="auto"/>
            <w:left w:val="none" w:sz="0" w:space="0" w:color="auto"/>
            <w:bottom w:val="none" w:sz="0" w:space="0" w:color="auto"/>
            <w:right w:val="none" w:sz="0" w:space="0" w:color="auto"/>
          </w:divBdr>
        </w:div>
        <w:div w:id="1197429989">
          <w:marLeft w:val="864"/>
          <w:marRight w:val="0"/>
          <w:marTop w:val="0"/>
          <w:marBottom w:val="180"/>
          <w:divBdr>
            <w:top w:val="none" w:sz="0" w:space="0" w:color="auto"/>
            <w:left w:val="none" w:sz="0" w:space="0" w:color="auto"/>
            <w:bottom w:val="none" w:sz="0" w:space="0" w:color="auto"/>
            <w:right w:val="none" w:sz="0" w:space="0" w:color="auto"/>
          </w:divBdr>
        </w:div>
        <w:div w:id="2057965301">
          <w:marLeft w:val="864"/>
          <w:marRight w:val="0"/>
          <w:marTop w:val="0"/>
          <w:marBottom w:val="180"/>
          <w:divBdr>
            <w:top w:val="none" w:sz="0" w:space="0" w:color="auto"/>
            <w:left w:val="none" w:sz="0" w:space="0" w:color="auto"/>
            <w:bottom w:val="none" w:sz="0" w:space="0" w:color="auto"/>
            <w:right w:val="none" w:sz="0" w:space="0" w:color="auto"/>
          </w:divBdr>
        </w:div>
        <w:div w:id="741833782">
          <w:marLeft w:val="864"/>
          <w:marRight w:val="0"/>
          <w:marTop w:val="0"/>
          <w:marBottom w:val="180"/>
          <w:divBdr>
            <w:top w:val="none" w:sz="0" w:space="0" w:color="auto"/>
            <w:left w:val="none" w:sz="0" w:space="0" w:color="auto"/>
            <w:bottom w:val="none" w:sz="0" w:space="0" w:color="auto"/>
            <w:right w:val="none" w:sz="0" w:space="0" w:color="auto"/>
          </w:divBdr>
        </w:div>
        <w:div w:id="1903757472">
          <w:marLeft w:val="864"/>
          <w:marRight w:val="0"/>
          <w:marTop w:val="0"/>
          <w:marBottom w:val="180"/>
          <w:divBdr>
            <w:top w:val="none" w:sz="0" w:space="0" w:color="auto"/>
            <w:left w:val="none" w:sz="0" w:space="0" w:color="auto"/>
            <w:bottom w:val="none" w:sz="0" w:space="0" w:color="auto"/>
            <w:right w:val="none" w:sz="0" w:space="0" w:color="auto"/>
          </w:divBdr>
        </w:div>
        <w:div w:id="679696684">
          <w:marLeft w:val="562"/>
          <w:marRight w:val="0"/>
          <w:marTop w:val="0"/>
          <w:marBottom w:val="180"/>
          <w:divBdr>
            <w:top w:val="none" w:sz="0" w:space="0" w:color="auto"/>
            <w:left w:val="none" w:sz="0" w:space="0" w:color="auto"/>
            <w:bottom w:val="none" w:sz="0" w:space="0" w:color="auto"/>
            <w:right w:val="none" w:sz="0" w:space="0" w:color="auto"/>
          </w:divBdr>
        </w:div>
        <w:div w:id="1413968054">
          <w:marLeft w:val="864"/>
          <w:marRight w:val="0"/>
          <w:marTop w:val="0"/>
          <w:marBottom w:val="180"/>
          <w:divBdr>
            <w:top w:val="none" w:sz="0" w:space="0" w:color="auto"/>
            <w:left w:val="none" w:sz="0" w:space="0" w:color="auto"/>
            <w:bottom w:val="none" w:sz="0" w:space="0" w:color="auto"/>
            <w:right w:val="none" w:sz="0" w:space="0" w:color="auto"/>
          </w:divBdr>
        </w:div>
        <w:div w:id="541137295">
          <w:marLeft w:val="864"/>
          <w:marRight w:val="0"/>
          <w:marTop w:val="0"/>
          <w:marBottom w:val="180"/>
          <w:divBdr>
            <w:top w:val="none" w:sz="0" w:space="0" w:color="auto"/>
            <w:left w:val="none" w:sz="0" w:space="0" w:color="auto"/>
            <w:bottom w:val="none" w:sz="0" w:space="0" w:color="auto"/>
            <w:right w:val="none" w:sz="0" w:space="0" w:color="auto"/>
          </w:divBdr>
        </w:div>
        <w:div w:id="531383122">
          <w:marLeft w:val="864"/>
          <w:marRight w:val="0"/>
          <w:marTop w:val="0"/>
          <w:marBottom w:val="180"/>
          <w:divBdr>
            <w:top w:val="none" w:sz="0" w:space="0" w:color="auto"/>
            <w:left w:val="none" w:sz="0" w:space="0" w:color="auto"/>
            <w:bottom w:val="none" w:sz="0" w:space="0" w:color="auto"/>
            <w:right w:val="none" w:sz="0" w:space="0" w:color="auto"/>
          </w:divBdr>
        </w:div>
        <w:div w:id="994722311">
          <w:marLeft w:val="864"/>
          <w:marRight w:val="0"/>
          <w:marTop w:val="0"/>
          <w:marBottom w:val="180"/>
          <w:divBdr>
            <w:top w:val="none" w:sz="0" w:space="0" w:color="auto"/>
            <w:left w:val="none" w:sz="0" w:space="0" w:color="auto"/>
            <w:bottom w:val="none" w:sz="0" w:space="0" w:color="auto"/>
            <w:right w:val="none" w:sz="0" w:space="0" w:color="auto"/>
          </w:divBdr>
        </w:div>
      </w:divsChild>
    </w:div>
    <w:div w:id="496771852">
      <w:bodyDiv w:val="1"/>
      <w:marLeft w:val="0"/>
      <w:marRight w:val="0"/>
      <w:marTop w:val="0"/>
      <w:marBottom w:val="0"/>
      <w:divBdr>
        <w:top w:val="none" w:sz="0" w:space="0" w:color="auto"/>
        <w:left w:val="none" w:sz="0" w:space="0" w:color="auto"/>
        <w:bottom w:val="none" w:sz="0" w:space="0" w:color="auto"/>
        <w:right w:val="none" w:sz="0" w:space="0" w:color="auto"/>
      </w:divBdr>
    </w:div>
    <w:div w:id="1738631454">
      <w:bodyDiv w:val="1"/>
      <w:marLeft w:val="0"/>
      <w:marRight w:val="0"/>
      <w:marTop w:val="0"/>
      <w:marBottom w:val="0"/>
      <w:divBdr>
        <w:top w:val="none" w:sz="0" w:space="0" w:color="auto"/>
        <w:left w:val="none" w:sz="0" w:space="0" w:color="auto"/>
        <w:bottom w:val="none" w:sz="0" w:space="0" w:color="auto"/>
        <w:right w:val="none" w:sz="0" w:space="0" w:color="auto"/>
      </w:divBdr>
    </w:div>
    <w:div w:id="1927687057">
      <w:bodyDiv w:val="1"/>
      <w:marLeft w:val="0"/>
      <w:marRight w:val="0"/>
      <w:marTop w:val="0"/>
      <w:marBottom w:val="0"/>
      <w:divBdr>
        <w:top w:val="none" w:sz="0" w:space="0" w:color="auto"/>
        <w:left w:val="none" w:sz="0" w:space="0" w:color="auto"/>
        <w:bottom w:val="none" w:sz="0" w:space="0" w:color="auto"/>
        <w:right w:val="none" w:sz="0" w:space="0" w:color="auto"/>
      </w:divBdr>
      <w:divsChild>
        <w:div w:id="2073043346">
          <w:marLeft w:val="562"/>
          <w:marRight w:val="0"/>
          <w:marTop w:val="0"/>
          <w:marBottom w:val="180"/>
          <w:divBdr>
            <w:top w:val="none" w:sz="0" w:space="0" w:color="auto"/>
            <w:left w:val="none" w:sz="0" w:space="0" w:color="auto"/>
            <w:bottom w:val="none" w:sz="0" w:space="0" w:color="auto"/>
            <w:right w:val="none" w:sz="0" w:space="0" w:color="auto"/>
          </w:divBdr>
        </w:div>
        <w:div w:id="647855046">
          <w:marLeft w:val="864"/>
          <w:marRight w:val="0"/>
          <w:marTop w:val="0"/>
          <w:marBottom w:val="180"/>
          <w:divBdr>
            <w:top w:val="none" w:sz="0" w:space="0" w:color="auto"/>
            <w:left w:val="none" w:sz="0" w:space="0" w:color="auto"/>
            <w:bottom w:val="none" w:sz="0" w:space="0" w:color="auto"/>
            <w:right w:val="none" w:sz="0" w:space="0" w:color="auto"/>
          </w:divBdr>
        </w:div>
        <w:div w:id="1756322846">
          <w:marLeft w:val="864"/>
          <w:marRight w:val="0"/>
          <w:marTop w:val="0"/>
          <w:marBottom w:val="180"/>
          <w:divBdr>
            <w:top w:val="none" w:sz="0" w:space="0" w:color="auto"/>
            <w:left w:val="none" w:sz="0" w:space="0" w:color="auto"/>
            <w:bottom w:val="none" w:sz="0" w:space="0" w:color="auto"/>
            <w:right w:val="none" w:sz="0" w:space="0" w:color="auto"/>
          </w:divBdr>
        </w:div>
        <w:div w:id="749275204">
          <w:marLeft w:val="864"/>
          <w:marRight w:val="0"/>
          <w:marTop w:val="0"/>
          <w:marBottom w:val="180"/>
          <w:divBdr>
            <w:top w:val="none" w:sz="0" w:space="0" w:color="auto"/>
            <w:left w:val="none" w:sz="0" w:space="0" w:color="auto"/>
            <w:bottom w:val="none" w:sz="0" w:space="0" w:color="auto"/>
            <w:right w:val="none" w:sz="0" w:space="0" w:color="auto"/>
          </w:divBdr>
        </w:div>
        <w:div w:id="1227758285">
          <w:marLeft w:val="864"/>
          <w:marRight w:val="0"/>
          <w:marTop w:val="0"/>
          <w:marBottom w:val="180"/>
          <w:divBdr>
            <w:top w:val="none" w:sz="0" w:space="0" w:color="auto"/>
            <w:left w:val="none" w:sz="0" w:space="0" w:color="auto"/>
            <w:bottom w:val="none" w:sz="0" w:space="0" w:color="auto"/>
            <w:right w:val="none" w:sz="0" w:space="0" w:color="auto"/>
          </w:divBdr>
        </w:div>
        <w:div w:id="1349939885">
          <w:marLeft w:val="864"/>
          <w:marRight w:val="0"/>
          <w:marTop w:val="0"/>
          <w:marBottom w:val="180"/>
          <w:divBdr>
            <w:top w:val="none" w:sz="0" w:space="0" w:color="auto"/>
            <w:left w:val="none" w:sz="0" w:space="0" w:color="auto"/>
            <w:bottom w:val="none" w:sz="0" w:space="0" w:color="auto"/>
            <w:right w:val="none" w:sz="0" w:space="0" w:color="auto"/>
          </w:divBdr>
        </w:div>
        <w:div w:id="131142085">
          <w:marLeft w:val="562"/>
          <w:marRight w:val="0"/>
          <w:marTop w:val="0"/>
          <w:marBottom w:val="180"/>
          <w:divBdr>
            <w:top w:val="none" w:sz="0" w:space="0" w:color="auto"/>
            <w:left w:val="none" w:sz="0" w:space="0" w:color="auto"/>
            <w:bottom w:val="none" w:sz="0" w:space="0" w:color="auto"/>
            <w:right w:val="none" w:sz="0" w:space="0" w:color="auto"/>
          </w:divBdr>
        </w:div>
        <w:div w:id="603341991">
          <w:marLeft w:val="864"/>
          <w:marRight w:val="0"/>
          <w:marTop w:val="0"/>
          <w:marBottom w:val="180"/>
          <w:divBdr>
            <w:top w:val="none" w:sz="0" w:space="0" w:color="auto"/>
            <w:left w:val="none" w:sz="0" w:space="0" w:color="auto"/>
            <w:bottom w:val="none" w:sz="0" w:space="0" w:color="auto"/>
            <w:right w:val="none" w:sz="0" w:space="0" w:color="auto"/>
          </w:divBdr>
        </w:div>
        <w:div w:id="272829406">
          <w:marLeft w:val="864"/>
          <w:marRight w:val="0"/>
          <w:marTop w:val="0"/>
          <w:marBottom w:val="180"/>
          <w:divBdr>
            <w:top w:val="none" w:sz="0" w:space="0" w:color="auto"/>
            <w:left w:val="none" w:sz="0" w:space="0" w:color="auto"/>
            <w:bottom w:val="none" w:sz="0" w:space="0" w:color="auto"/>
            <w:right w:val="none" w:sz="0" w:space="0" w:color="auto"/>
          </w:divBdr>
        </w:div>
        <w:div w:id="1994942152">
          <w:marLeft w:val="864"/>
          <w:marRight w:val="0"/>
          <w:marTop w:val="0"/>
          <w:marBottom w:val="180"/>
          <w:divBdr>
            <w:top w:val="none" w:sz="0" w:space="0" w:color="auto"/>
            <w:left w:val="none" w:sz="0" w:space="0" w:color="auto"/>
            <w:bottom w:val="none" w:sz="0" w:space="0" w:color="auto"/>
            <w:right w:val="none" w:sz="0" w:space="0" w:color="auto"/>
          </w:divBdr>
        </w:div>
        <w:div w:id="417672735">
          <w:marLeft w:val="864"/>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6-e/Docs/R2-211137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6-e/Docs/R2-211123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09401.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4</Pages>
  <Words>2102</Words>
  <Characters>9589</Characters>
  <Application>Microsoft Office Word</Application>
  <DocSecurity>0</DocSecurity>
  <Lines>168</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11608</CharactersWithSpaces>
  <SharedDoc>false</SharedDoc>
  <HyperlinkBase/>
  <HLinks>
    <vt:vector size="54" baseType="variant">
      <vt:variant>
        <vt:i4>1179707</vt:i4>
      </vt:variant>
      <vt:variant>
        <vt:i4>29</vt:i4>
      </vt:variant>
      <vt:variant>
        <vt:i4>0</vt:i4>
      </vt:variant>
      <vt:variant>
        <vt:i4>5</vt:i4>
      </vt:variant>
      <vt:variant>
        <vt:lpwstr/>
      </vt:variant>
      <vt:variant>
        <vt:lpwstr>_Toc88746029</vt:lpwstr>
      </vt:variant>
      <vt:variant>
        <vt:i4>1245243</vt:i4>
      </vt:variant>
      <vt:variant>
        <vt:i4>26</vt:i4>
      </vt:variant>
      <vt:variant>
        <vt:i4>0</vt:i4>
      </vt:variant>
      <vt:variant>
        <vt:i4>5</vt:i4>
      </vt:variant>
      <vt:variant>
        <vt:lpwstr/>
      </vt:variant>
      <vt:variant>
        <vt:lpwstr>_Toc88746028</vt:lpwstr>
      </vt:variant>
      <vt:variant>
        <vt:i4>1835067</vt:i4>
      </vt:variant>
      <vt:variant>
        <vt:i4>23</vt:i4>
      </vt:variant>
      <vt:variant>
        <vt:i4>0</vt:i4>
      </vt:variant>
      <vt:variant>
        <vt:i4>5</vt:i4>
      </vt:variant>
      <vt:variant>
        <vt:lpwstr/>
      </vt:variant>
      <vt:variant>
        <vt:lpwstr>_Toc88746027</vt:lpwstr>
      </vt:variant>
      <vt:variant>
        <vt:i4>1900603</vt:i4>
      </vt:variant>
      <vt:variant>
        <vt:i4>20</vt:i4>
      </vt:variant>
      <vt:variant>
        <vt:i4>0</vt:i4>
      </vt:variant>
      <vt:variant>
        <vt:i4>5</vt:i4>
      </vt:variant>
      <vt:variant>
        <vt:lpwstr/>
      </vt:variant>
      <vt:variant>
        <vt:lpwstr>_Toc88746026</vt:lpwstr>
      </vt:variant>
      <vt:variant>
        <vt:i4>1966139</vt:i4>
      </vt:variant>
      <vt:variant>
        <vt:i4>17</vt:i4>
      </vt:variant>
      <vt:variant>
        <vt:i4>0</vt:i4>
      </vt:variant>
      <vt:variant>
        <vt:i4>5</vt:i4>
      </vt:variant>
      <vt:variant>
        <vt:lpwstr/>
      </vt:variant>
      <vt:variant>
        <vt:lpwstr>_Toc88746025</vt:lpwstr>
      </vt:variant>
      <vt:variant>
        <vt:i4>1769530</vt:i4>
      </vt:variant>
      <vt:variant>
        <vt:i4>11</vt:i4>
      </vt:variant>
      <vt:variant>
        <vt:i4>0</vt:i4>
      </vt:variant>
      <vt:variant>
        <vt:i4>5</vt:i4>
      </vt:variant>
      <vt:variant>
        <vt:lpwstr/>
      </vt:variant>
      <vt:variant>
        <vt:lpwstr>_Toc88746030</vt:lpwstr>
      </vt:variant>
      <vt:variant>
        <vt:i4>458865</vt:i4>
      </vt:variant>
      <vt:variant>
        <vt:i4>6</vt:i4>
      </vt:variant>
      <vt:variant>
        <vt:i4>0</vt:i4>
      </vt:variant>
      <vt:variant>
        <vt:i4>5</vt:i4>
      </vt:variant>
      <vt:variant>
        <vt:lpwstr>http://www.3gpp.org/ftp/tsg_ran/WG2_RL2/TSGR2_116-e/Docs/R2-2111371.zip</vt:lpwstr>
      </vt:variant>
      <vt:variant>
        <vt:lpwstr/>
      </vt:variant>
      <vt:variant>
        <vt:i4>196727</vt:i4>
      </vt:variant>
      <vt:variant>
        <vt:i4>3</vt:i4>
      </vt:variant>
      <vt:variant>
        <vt:i4>0</vt:i4>
      </vt:variant>
      <vt:variant>
        <vt:i4>5</vt:i4>
      </vt:variant>
      <vt:variant>
        <vt:lpwstr>http://www.3gpp.org/ftp/tsg_ran/WG2_RL2/TSGR2_116-e/Docs/R2-2111236.zip</vt:lpwstr>
      </vt:variant>
      <vt:variant>
        <vt:lpwstr/>
      </vt:variant>
      <vt:variant>
        <vt:i4>524407</vt:i4>
      </vt:variant>
      <vt:variant>
        <vt:i4>0</vt:i4>
      </vt:variant>
      <vt:variant>
        <vt:i4>0</vt:i4>
      </vt:variant>
      <vt:variant>
        <vt:i4>5</vt:i4>
      </vt:variant>
      <vt:variant>
        <vt:lpwstr>http://www.3gpp.org/ftp/tsg_ran/WG2_RL2/TSGR2_116-e/Docs/R2-2109401.zip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Mattias</cp:lastModifiedBy>
  <cp:revision>37</cp:revision>
  <cp:lastPrinted>2008-01-31T07:09:00Z</cp:lastPrinted>
  <dcterms:created xsi:type="dcterms:W3CDTF">2021-11-25T08:51:00Z</dcterms:created>
  <dcterms:modified xsi:type="dcterms:W3CDTF">2021-11-29T15:23:00Z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